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A9F15">
      <w:pPr>
        <w:pStyle w:val="22"/>
        <w:spacing w:line="276" w:lineRule="auto"/>
        <w:jc w:val="center"/>
        <w:rPr>
          <w:rStyle w:val="18"/>
          <w:rFonts w:hint="eastAsia" w:ascii="微软雅黑" w:hAnsi="微软雅黑" w:eastAsia="微软雅黑" w:cs="微软雅黑"/>
          <w:bCs/>
          <w:sz w:val="36"/>
          <w:szCs w:val="44"/>
          <w:lang w:eastAsia="zh-CN"/>
        </w:rPr>
      </w:pPr>
    </w:p>
    <w:p w14:paraId="171241A9">
      <w:pPr>
        <w:pStyle w:val="22"/>
        <w:spacing w:line="276" w:lineRule="auto"/>
        <w:jc w:val="center"/>
        <w:rPr>
          <w:rStyle w:val="18"/>
          <w:rFonts w:hint="eastAsia" w:ascii="微软雅黑" w:hAnsi="微软雅黑" w:eastAsia="微软雅黑" w:cs="微软雅黑"/>
          <w:bCs/>
          <w:sz w:val="36"/>
          <w:szCs w:val="44"/>
          <w:lang w:eastAsia="zh-CN"/>
        </w:rPr>
      </w:pPr>
    </w:p>
    <w:p w14:paraId="64424CC3">
      <w:pPr>
        <w:pStyle w:val="22"/>
        <w:spacing w:line="276" w:lineRule="auto"/>
        <w:jc w:val="center"/>
        <w:rPr>
          <w:rStyle w:val="18"/>
          <w:rFonts w:hint="eastAsia" w:ascii="微软雅黑" w:hAnsi="微软雅黑" w:eastAsia="微软雅黑" w:cs="微软雅黑"/>
          <w:bCs/>
          <w:sz w:val="36"/>
          <w:szCs w:val="44"/>
          <w:lang w:eastAsia="zh-CN"/>
        </w:rPr>
      </w:pPr>
    </w:p>
    <w:p w14:paraId="4564A77C">
      <w:pPr>
        <w:pStyle w:val="22"/>
        <w:spacing w:line="276" w:lineRule="auto"/>
        <w:jc w:val="center"/>
        <w:rPr>
          <w:rStyle w:val="18"/>
          <w:rFonts w:hint="eastAsia" w:ascii="微软雅黑" w:hAnsi="微软雅黑" w:eastAsia="微软雅黑" w:cs="微软雅黑"/>
          <w:bCs/>
          <w:sz w:val="36"/>
          <w:szCs w:val="44"/>
          <w:lang w:eastAsia="zh-CN"/>
        </w:rPr>
      </w:pPr>
    </w:p>
    <w:p w14:paraId="17AEF333">
      <w:pPr>
        <w:pStyle w:val="22"/>
        <w:spacing w:line="276" w:lineRule="auto"/>
        <w:jc w:val="center"/>
        <w:rPr>
          <w:rStyle w:val="18"/>
          <w:rFonts w:hint="eastAsia" w:ascii="微软雅黑" w:hAnsi="微软雅黑" w:eastAsia="微软雅黑" w:cs="微软雅黑"/>
          <w:bCs/>
          <w:sz w:val="36"/>
          <w:szCs w:val="44"/>
          <w:lang w:eastAsia="zh-CN"/>
        </w:rPr>
      </w:pPr>
    </w:p>
    <w:p w14:paraId="3C8155CF">
      <w:pPr>
        <w:pStyle w:val="22"/>
        <w:spacing w:line="276" w:lineRule="auto"/>
        <w:jc w:val="center"/>
        <w:rPr>
          <w:rFonts w:hint="default" w:asciiTheme="minorHAnsi" w:hAnsiTheme="minorHAnsi" w:eastAsiaTheme="minorEastAsia" w:cstheme="minorHAnsi"/>
          <w:sz w:val="60"/>
          <w:szCs w:val="60"/>
          <w:lang w:val="en-US" w:eastAsia="zh-CN"/>
        </w:rPr>
      </w:pPr>
      <w:r>
        <w:rPr>
          <w:rStyle w:val="18"/>
          <w:rFonts w:hint="eastAsia" w:ascii="微软雅黑" w:hAnsi="微软雅黑" w:eastAsia="微软雅黑" w:cs="微软雅黑"/>
          <w:bCs/>
          <w:sz w:val="60"/>
          <w:szCs w:val="96"/>
          <w:lang w:eastAsia="zh-CN"/>
        </w:rPr>
        <w:t>使用指南</w:t>
      </w:r>
      <w:r>
        <w:rPr>
          <w:rStyle w:val="18"/>
          <w:rFonts w:hint="eastAsia" w:ascii="微软雅黑" w:hAnsi="微软雅黑" w:eastAsia="微软雅黑" w:cs="微软雅黑"/>
          <w:bCs/>
          <w:sz w:val="60"/>
          <w:szCs w:val="96"/>
          <w:lang w:val="en-US" w:eastAsia="zh-CN"/>
        </w:rPr>
        <w:t>V1.0</w:t>
      </w:r>
    </w:p>
    <w:p w14:paraId="4DC349CB">
      <w:pPr>
        <w:pStyle w:val="22"/>
        <w:spacing w:line="276" w:lineRule="auto"/>
        <w:rPr>
          <w:rFonts w:asciiTheme="minorHAnsi" w:hAnsiTheme="minorHAnsi" w:eastAsiaTheme="minorEastAsia" w:cstheme="minorHAnsi"/>
        </w:rPr>
      </w:pPr>
    </w:p>
    <w:p w14:paraId="297F3AC8">
      <w:pPr>
        <w:pStyle w:val="22"/>
        <w:spacing w:line="276" w:lineRule="auto"/>
        <w:rPr>
          <w:rFonts w:asciiTheme="minorHAnsi" w:hAnsiTheme="minorHAnsi" w:eastAsiaTheme="minorEastAsia" w:cstheme="minorHAnsi"/>
        </w:rPr>
      </w:pPr>
    </w:p>
    <w:p w14:paraId="4C80D667">
      <w:pPr>
        <w:pStyle w:val="22"/>
        <w:spacing w:line="276" w:lineRule="auto"/>
        <w:rPr>
          <w:rFonts w:asciiTheme="minorHAnsi" w:hAnsiTheme="minorHAnsi" w:eastAsiaTheme="minorEastAsia" w:cstheme="minorHAnsi"/>
        </w:rPr>
      </w:pPr>
    </w:p>
    <w:p w14:paraId="609874BF">
      <w:pPr>
        <w:pStyle w:val="22"/>
        <w:spacing w:line="276" w:lineRule="auto"/>
        <w:rPr>
          <w:rFonts w:asciiTheme="minorHAnsi" w:hAnsiTheme="minorHAnsi" w:eastAsiaTheme="minorEastAsia" w:cstheme="minorHAnsi"/>
        </w:rPr>
      </w:pPr>
    </w:p>
    <w:p w14:paraId="57C0BCBA">
      <w:pPr>
        <w:pStyle w:val="22"/>
        <w:spacing w:line="276" w:lineRule="auto"/>
        <w:rPr>
          <w:rFonts w:asciiTheme="minorHAnsi" w:hAnsiTheme="minorHAnsi" w:eastAsiaTheme="minorEastAsia" w:cstheme="minorHAnsi"/>
        </w:rPr>
      </w:pPr>
    </w:p>
    <w:p w14:paraId="1540A837">
      <w:pPr>
        <w:pStyle w:val="22"/>
        <w:spacing w:line="276" w:lineRule="auto"/>
        <w:rPr>
          <w:rFonts w:asciiTheme="minorHAnsi" w:hAnsiTheme="minorHAnsi" w:eastAsiaTheme="minorEastAsia" w:cstheme="minorHAnsi"/>
        </w:rPr>
      </w:pPr>
    </w:p>
    <w:p w14:paraId="75FA43A5">
      <w:pPr>
        <w:pStyle w:val="22"/>
        <w:spacing w:line="276" w:lineRule="auto"/>
        <w:rPr>
          <w:rFonts w:asciiTheme="minorHAnsi" w:hAnsiTheme="minorHAnsi" w:eastAsiaTheme="minorEastAsia" w:cstheme="minorHAnsi"/>
        </w:rPr>
      </w:pPr>
    </w:p>
    <w:p w14:paraId="373A7040">
      <w:pPr>
        <w:pStyle w:val="22"/>
        <w:spacing w:line="276" w:lineRule="auto"/>
        <w:rPr>
          <w:rFonts w:asciiTheme="minorHAnsi" w:hAnsiTheme="minorHAnsi" w:eastAsiaTheme="minorEastAsia" w:cstheme="minorHAnsi"/>
        </w:rPr>
      </w:pPr>
    </w:p>
    <w:p w14:paraId="6E4B0CFE">
      <w:pPr>
        <w:pStyle w:val="22"/>
        <w:spacing w:line="276" w:lineRule="auto"/>
        <w:rPr>
          <w:rFonts w:asciiTheme="minorHAnsi" w:hAnsiTheme="minorHAnsi" w:eastAsiaTheme="minorEastAsia" w:cstheme="minorHAnsi"/>
        </w:rPr>
      </w:pPr>
    </w:p>
    <w:p w14:paraId="5F4295E9">
      <w:pPr>
        <w:pStyle w:val="22"/>
        <w:spacing w:line="276" w:lineRule="auto"/>
        <w:rPr>
          <w:rFonts w:asciiTheme="minorHAnsi" w:hAnsiTheme="minorHAnsi" w:eastAsiaTheme="minorEastAsia" w:cstheme="minorHAnsi"/>
        </w:rPr>
      </w:pPr>
    </w:p>
    <w:p w14:paraId="1DB20561">
      <w:pPr>
        <w:pStyle w:val="22"/>
        <w:spacing w:line="276" w:lineRule="auto"/>
        <w:rPr>
          <w:rFonts w:asciiTheme="minorHAnsi" w:hAnsiTheme="minorHAnsi" w:eastAsiaTheme="minorEastAsia" w:cstheme="minorHAnsi"/>
        </w:rPr>
      </w:pPr>
    </w:p>
    <w:p w14:paraId="10B068D5">
      <w:pPr>
        <w:pStyle w:val="22"/>
        <w:spacing w:line="276" w:lineRule="auto"/>
        <w:rPr>
          <w:rFonts w:asciiTheme="minorHAnsi" w:hAnsiTheme="minorHAnsi" w:eastAsiaTheme="minorEastAsia" w:cstheme="minorHAnsi"/>
        </w:rPr>
      </w:pPr>
    </w:p>
    <w:p w14:paraId="08AF979C">
      <w:pPr>
        <w:pStyle w:val="22"/>
        <w:spacing w:line="276" w:lineRule="auto"/>
        <w:rPr>
          <w:rFonts w:asciiTheme="minorHAnsi" w:hAnsiTheme="minorHAnsi" w:eastAsiaTheme="minorEastAsia" w:cstheme="minorHAnsi"/>
        </w:rPr>
      </w:pPr>
    </w:p>
    <w:p w14:paraId="625B631B">
      <w:pPr>
        <w:pStyle w:val="22"/>
        <w:spacing w:line="276" w:lineRule="auto"/>
        <w:rPr>
          <w:rFonts w:asciiTheme="minorHAnsi" w:hAnsiTheme="minorHAnsi" w:eastAsiaTheme="minorEastAsia" w:cstheme="minorHAnsi"/>
        </w:rPr>
      </w:pPr>
    </w:p>
    <w:p w14:paraId="54C52E6A">
      <w:pPr>
        <w:pStyle w:val="22"/>
        <w:spacing w:line="276" w:lineRule="auto"/>
        <w:rPr>
          <w:rFonts w:asciiTheme="minorHAnsi" w:hAnsiTheme="minorHAnsi" w:eastAsiaTheme="minorEastAsia" w:cstheme="minorHAnsi"/>
        </w:rPr>
      </w:pPr>
    </w:p>
    <w:p w14:paraId="5BBC0F9D">
      <w:pPr>
        <w:pStyle w:val="22"/>
        <w:spacing w:line="276" w:lineRule="auto"/>
        <w:rPr>
          <w:rFonts w:asciiTheme="minorHAnsi" w:hAnsiTheme="minorHAnsi" w:eastAsiaTheme="minorEastAsia" w:cstheme="minorHAnsi"/>
        </w:rPr>
      </w:pPr>
    </w:p>
    <w:p w14:paraId="77B2EBD0">
      <w:pPr>
        <w:pStyle w:val="22"/>
        <w:spacing w:line="276" w:lineRule="auto"/>
        <w:rPr>
          <w:rFonts w:asciiTheme="minorHAnsi" w:hAnsiTheme="minorHAnsi" w:eastAsiaTheme="minorEastAsia" w:cstheme="minorHAnsi"/>
        </w:rPr>
      </w:pPr>
    </w:p>
    <w:p w14:paraId="24494E8E">
      <w:pPr>
        <w:pStyle w:val="22"/>
        <w:spacing w:line="276" w:lineRule="auto"/>
        <w:jc w:val="center"/>
        <w:rPr>
          <w:rFonts w:asciiTheme="minorHAnsi" w:hAnsiTheme="minorHAnsi" w:eastAsiaTheme="minorEastAsia" w:cstheme="minorHAnsi"/>
        </w:rPr>
      </w:pPr>
    </w:p>
    <w:p w14:paraId="3D3E832A">
      <w:pPr>
        <w:pStyle w:val="22"/>
        <w:spacing w:line="276" w:lineRule="auto"/>
        <w:jc w:val="center"/>
        <w:rPr>
          <w:rFonts w:asciiTheme="minorHAnsi" w:hAnsiTheme="minorHAnsi" w:eastAsiaTheme="minorEastAsia" w:cstheme="minorHAnsi"/>
          <w:sz w:val="28"/>
          <w:szCs w:val="28"/>
        </w:rPr>
      </w:pPr>
      <w:r>
        <w:rPr>
          <w:color w:val="auto"/>
          <w:sz w:val="36"/>
          <w:szCs w:val="36"/>
        </w:rPr>
        <w:t>中国电子技术标准化研究院赛西实验室</w:t>
      </w:r>
    </w:p>
    <w:p w14:paraId="0FE9A124">
      <w:pPr>
        <w:pStyle w:val="22"/>
        <w:spacing w:line="276" w:lineRule="auto"/>
        <w:rPr>
          <w:rFonts w:asciiTheme="minorHAnsi" w:hAnsiTheme="minorHAnsi" w:eastAsiaTheme="minorEastAsia" w:cstheme="minorHAnsi"/>
        </w:rPr>
      </w:pPr>
    </w:p>
    <w:p w14:paraId="5A80A42F">
      <w:pPr>
        <w:pStyle w:val="22"/>
        <w:spacing w:line="276" w:lineRule="auto"/>
        <w:rPr>
          <w:rFonts w:asciiTheme="minorHAnsi" w:hAnsiTheme="minorHAnsi" w:eastAsiaTheme="minorEastAsia" w:cstheme="minorHAnsi"/>
        </w:rPr>
      </w:pPr>
    </w:p>
    <w:p w14:paraId="7476C64F">
      <w:pPr>
        <w:pStyle w:val="2"/>
        <w:keepNext w:val="0"/>
        <w:numPr>
          <w:ilvl w:val="0"/>
          <w:numId w:val="0"/>
        </w:numPr>
        <w:spacing w:before="0" w:after="120" w:line="276" w:lineRule="auto"/>
        <w:rPr>
          <w:rFonts w:asciiTheme="minorHAnsi" w:hAnsiTheme="minorHAnsi" w:eastAsiaTheme="minorEastAsia" w:cstheme="minorHAnsi"/>
          <w:sz w:val="21"/>
        </w:rPr>
      </w:pPr>
      <w:r>
        <w:rPr>
          <w:rFonts w:asciiTheme="minorHAnsi" w:hAnsiTheme="minorHAnsi" w:eastAsiaTheme="minorEastAsia" w:cstheme="minorHAnsi"/>
        </w:rPr>
        <w:br w:type="page"/>
      </w:r>
    </w:p>
    <w:p w14:paraId="73EE3E54">
      <w:pPr>
        <w:pStyle w:val="2"/>
        <w:numPr>
          <w:ilvl w:val="0"/>
          <w:numId w:val="1"/>
        </w:numPr>
        <w:tabs>
          <w:tab w:val="left" w:pos="574"/>
          <w:tab w:val="clear" w:pos="432"/>
        </w:tabs>
        <w:spacing w:line="276" w:lineRule="auto"/>
        <w:ind w:left="574"/>
        <w:rPr>
          <w:rFonts w:hint="eastAsia" w:asciiTheme="minorHAnsi" w:hAnsiTheme="minorHAnsi" w:eastAsiaTheme="minorEastAsia" w:cstheme="minorHAnsi"/>
          <w:lang w:val="en-US" w:eastAsia="zh-CN"/>
        </w:rPr>
      </w:pPr>
      <w:bookmarkStart w:id="0" w:name="_Toc50261662"/>
      <w:bookmarkEnd w:id="0"/>
      <w:bookmarkStart w:id="1" w:name="_Toc50261661"/>
      <w:bookmarkEnd w:id="1"/>
      <w:bookmarkStart w:id="2" w:name="_Toc50261664"/>
      <w:bookmarkEnd w:id="2"/>
      <w:bookmarkStart w:id="3" w:name="_Toc50261630"/>
      <w:bookmarkEnd w:id="3"/>
      <w:bookmarkStart w:id="4" w:name="_Toc50261635"/>
      <w:bookmarkEnd w:id="4"/>
      <w:bookmarkStart w:id="5" w:name="_Toc50261628"/>
      <w:bookmarkEnd w:id="5"/>
      <w:bookmarkStart w:id="6" w:name="_Toc50261632"/>
      <w:bookmarkEnd w:id="6"/>
      <w:bookmarkStart w:id="7" w:name="_Toc50261660"/>
      <w:bookmarkEnd w:id="7"/>
      <w:bookmarkStart w:id="8" w:name="_Toc50261665"/>
      <w:bookmarkEnd w:id="8"/>
      <w:bookmarkStart w:id="9" w:name="_Toc50261658"/>
      <w:bookmarkEnd w:id="9"/>
      <w:bookmarkStart w:id="10" w:name="_Toc50261631"/>
      <w:bookmarkEnd w:id="10"/>
      <w:bookmarkStart w:id="11" w:name="_Toc50261634"/>
      <w:bookmarkEnd w:id="11"/>
      <w:bookmarkStart w:id="12" w:name="_Toc31304"/>
      <w:bookmarkStart w:id="13" w:name="_Toc113009770"/>
      <w:r>
        <w:rPr>
          <w:rFonts w:hint="eastAsia" w:asciiTheme="minorHAnsi" w:hAnsiTheme="minorHAnsi" w:eastAsiaTheme="minorEastAsia" w:cstheme="minorHAnsi"/>
          <w:lang w:val="en-US" w:eastAsia="zh-CN"/>
        </w:rPr>
        <w:t>服务与支持、使用指南发布说明：</w:t>
      </w:r>
      <w:bookmarkEnd w:id="12"/>
    </w:p>
    <w:p w14:paraId="537401B8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售后联系方式</w:t>
      </w:r>
    </w:p>
    <w:p w14:paraId="666C7B22">
      <w:pPr>
        <w:numPr>
          <w:ilvl w:val="0"/>
          <w:numId w:val="3"/>
        </w:numPr>
        <w:ind w:left="0" w:leftChars="0" w:firstLine="0" w:firstLineChars="0"/>
        <w:rPr>
          <w:rFonts w:hint="eastAsia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选择商品客服：选择页面客服组即可</w:t>
      </w:r>
      <w:bookmarkStart w:id="16" w:name="_GoBack"/>
      <w:bookmarkEnd w:id="16"/>
      <w:r>
        <w:rPr>
          <w:rFonts w:hint="eastAsia"/>
          <w:b/>
          <w:bCs/>
          <w:color w:val="auto"/>
          <w:highlight w:val="none"/>
          <w:lang w:val="en-US" w:eastAsia="zh-CN"/>
        </w:rPr>
        <w:t>。</w:t>
      </w:r>
    </w:p>
    <w:p w14:paraId="0BA96CA4">
      <w:pPr>
        <w:numPr>
          <w:ilvl w:val="0"/>
          <w:numId w:val="3"/>
        </w:numPr>
        <w:ind w:left="0" w:leftChars="0" w:firstLine="0" w:firstLineChars="0"/>
        <w:rPr>
          <w:rFonts w:hint="eastAsia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服务内容：</w:t>
      </w:r>
    </w:p>
    <w:p w14:paraId="5702DBC8">
      <w:pPr>
        <w:numPr>
          <w:ilvl w:val="0"/>
          <w:numId w:val="4"/>
        </w:numPr>
        <w:ind w:left="635" w:leftChars="0" w:hanging="425" w:firstLineChars="0"/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bookmarkStart w:id="14" w:name="sp_topic_0000177__li570323831217"/>
      <w:bookmarkEnd w:id="14"/>
      <w:bookmarkStart w:id="15" w:name="li570323831217"/>
      <w:bookmarkEnd w:id="15"/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服务形式：现场测试或远程测试；</w:t>
      </w:r>
    </w:p>
    <w:p w14:paraId="76C8BE59">
      <w:pPr>
        <w:numPr>
          <w:ilvl w:val="0"/>
          <w:numId w:val="4"/>
        </w:numPr>
        <w:ind w:left="635" w:leftChars="0" w:hanging="425" w:firstLineChars="0"/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服务范围：对提供的软件产品按照服务流程进行测评并出具报告。</w:t>
      </w:r>
    </w:p>
    <w:p w14:paraId="5440809D">
      <w:pPr>
        <w:pStyle w:val="3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使用指南</w:t>
      </w:r>
    </w:p>
    <w:p w14:paraId="6D463D0A">
      <w:pPr>
        <w:numPr>
          <w:ilvl w:val="0"/>
          <w:numId w:val="5"/>
        </w:numPr>
        <w:ind w:left="0" w:leftChars="0" w:firstLine="0" w:firstLineChars="0"/>
        <w:rPr>
          <w:rFonts w:hint="eastAsia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流程及服务周期：</w:t>
      </w:r>
    </w:p>
    <w:p w14:paraId="4AFB6F17">
      <w:pPr>
        <w:numPr>
          <w:ilvl w:val="0"/>
          <w:numId w:val="6"/>
        </w:numPr>
        <w:ind w:left="635" w:leftChars="0" w:hanging="425" w:firstLineChars="0"/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预测评阶段（企业填写测评需求及按照要求提交预测评材料，测评单位评估需求及材料情况报价）</w:t>
      </w:r>
    </w:p>
    <w:p w14:paraId="1B58B273">
      <w:pPr>
        <w:numPr>
          <w:ilvl w:val="0"/>
          <w:numId w:val="6"/>
        </w:numPr>
        <w:ind w:left="635" w:leftChars="0" w:hanging="425" w:firstLineChars="0"/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达成项目意向阶段（双方根据需求、报价及服务内容达成一致，签项目）</w:t>
      </w:r>
    </w:p>
    <w:p w14:paraId="75007AA4">
      <w:pPr>
        <w:numPr>
          <w:ilvl w:val="0"/>
          <w:numId w:val="6"/>
        </w:numPr>
        <w:ind w:left="635" w:leftChars="0" w:hanging="425" w:firstLineChars="0"/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正式实施阶段（根据项目要求执行测试并出具测试结果）</w:t>
      </w:r>
    </w:p>
    <w:p w14:paraId="1044042F">
      <w:pPr>
        <w:numPr>
          <w:ilvl w:val="0"/>
          <w:numId w:val="7"/>
        </w:numPr>
        <w:ind w:left="0" w:leftChars="0" w:firstLine="361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环境确认</w:t>
      </w:r>
      <w:r>
        <w:rPr>
          <w:rFonts w:hint="eastAsia"/>
          <w:color w:val="auto"/>
          <w:highlight w:val="none"/>
          <w:lang w:val="en-US" w:eastAsia="zh-CN"/>
        </w:rPr>
        <w:t>：测试执行前对环境信息确认，确保能正常开展测试；</w:t>
      </w:r>
    </w:p>
    <w:p w14:paraId="58FB1CB3">
      <w:pPr>
        <w:numPr>
          <w:ilvl w:val="0"/>
          <w:numId w:val="7"/>
        </w:numPr>
        <w:ind w:left="0" w:leftChars="0" w:firstLine="361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测试执行</w:t>
      </w:r>
      <w:r>
        <w:rPr>
          <w:rFonts w:hint="eastAsia"/>
          <w:color w:val="auto"/>
          <w:highlight w:val="none"/>
          <w:lang w:val="en-US" w:eastAsia="zh-CN"/>
        </w:rPr>
        <w:t>：</w:t>
      </w:r>
    </w:p>
    <w:p w14:paraId="119AA2FD">
      <w:pPr>
        <w:numPr>
          <w:ilvl w:val="0"/>
          <w:numId w:val="0"/>
        </w:numPr>
        <w:ind w:left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共执行两轮测试，分别为首轮测试和回归测试；对于首轮测试发现问题，进行一次回归测试，待测试完成如遗留问题并与委托方达成一致，记录问题报告单；若未遗留问题；</w:t>
      </w:r>
    </w:p>
    <w:p w14:paraId="112B3077">
      <w:pPr>
        <w:numPr>
          <w:ilvl w:val="0"/>
          <w:numId w:val="7"/>
        </w:numPr>
        <w:ind w:left="0" w:leftChars="0" w:firstLine="361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测试总结</w:t>
      </w:r>
      <w:r>
        <w:rPr>
          <w:rFonts w:hint="eastAsia"/>
          <w:color w:val="auto"/>
          <w:highlight w:val="none"/>
          <w:lang w:val="en-US" w:eastAsia="zh-CN"/>
        </w:rPr>
        <w:t>：依据测试结果，出具测试报告</w:t>
      </w:r>
    </w:p>
    <w:p w14:paraId="1CC74850">
      <w:pPr>
        <w:numPr>
          <w:ilvl w:val="0"/>
          <w:numId w:val="6"/>
        </w:numPr>
        <w:ind w:left="635" w:leftChars="0" w:hanging="425" w:firstLineChars="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项目验收阶段：出具正式的纸质版报告、电子版报告各一份</w:t>
      </w:r>
    </w:p>
    <w:p w14:paraId="2E1F7828">
      <w:pPr>
        <w:numPr>
          <w:ilvl w:val="0"/>
          <w:numId w:val="5"/>
        </w:numPr>
        <w:ind w:left="0" w:leftChars="0" w:firstLine="0" w:firstLineChars="0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测试提供材料目录</w:t>
      </w:r>
    </w:p>
    <w:p w14:paraId="0999BEB4">
      <w:pPr>
        <w:numPr>
          <w:ilvl w:val="0"/>
          <w:numId w:val="8"/>
        </w:numPr>
        <w:ind w:left="635" w:leftChars="0" w:hanging="425" w:firstLineChars="0"/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预测评阶段（企业填写）：需求意向及情况评估表、测试项收集、测试用例示例表；</w:t>
      </w:r>
    </w:p>
    <w:p w14:paraId="66BEFF62">
      <w:pPr>
        <w:numPr>
          <w:ilvl w:val="0"/>
          <w:numId w:val="8"/>
        </w:numPr>
        <w:ind w:left="635" w:leftChars="0" w:hanging="425" w:firstLineChars="0"/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材料准备阶段：产品用户手册（企业提供）、测试用例表（用例为委托方编写时提供）</w:t>
      </w:r>
    </w:p>
    <w:p w14:paraId="7DE5938E">
      <w:pPr>
        <w:numPr>
          <w:ilvl w:val="0"/>
          <w:numId w:val="8"/>
        </w:numPr>
        <w:ind w:left="635" w:leftChars="0" w:hanging="425" w:firstLineChars="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实施阶段：</w:t>
      </w:r>
    </w:p>
    <w:p w14:paraId="7A7937AE">
      <w:pPr>
        <w:numPr>
          <w:ilvl w:val="0"/>
          <w:numId w:val="9"/>
        </w:numPr>
        <w:ind w:left="0" w:leftChars="0" w:firstLine="36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企业信息及环境配置信息表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（企业填写）、免责说明（企业填写）</w:t>
      </w:r>
    </w:p>
    <w:p w14:paraId="1B4D84E6">
      <w:pPr>
        <w:numPr>
          <w:ilvl w:val="0"/>
          <w:numId w:val="9"/>
        </w:numPr>
        <w:ind w:left="0" w:leftChars="0" w:firstLine="36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测试截图（企业通过演示方式测试）</w:t>
      </w:r>
    </w:p>
    <w:p w14:paraId="73083EC9">
      <w:pPr>
        <w:numPr>
          <w:ilvl w:val="0"/>
          <w:numId w:val="9"/>
        </w:numPr>
        <w:ind w:left="0" w:leftChars="0" w:firstLine="36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测试报告（测评单位提供）</w:t>
      </w:r>
    </w:p>
    <w:p w14:paraId="1D642A1F">
      <w:pPr>
        <w:numPr>
          <w:ilvl w:val="0"/>
          <w:numId w:val="5"/>
        </w:numPr>
        <w:ind w:left="0" w:leftChars="0" w:firstLine="0" w:firstLineChars="0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服务周期</w:t>
      </w:r>
    </w:p>
    <w:p w14:paraId="404C53D3">
      <w:pPr>
        <w:numPr>
          <w:ilvl w:val="0"/>
          <w:numId w:val="10"/>
        </w:numPr>
        <w:ind w:left="635" w:leftChars="0" w:hanging="425" w:firstLineChars="0"/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预测评阶段（根据企业填写信息1-5个工作日反馈内容并提交报价）</w:t>
      </w:r>
    </w:p>
    <w:p w14:paraId="44ED4238">
      <w:pPr>
        <w:numPr>
          <w:ilvl w:val="0"/>
          <w:numId w:val="10"/>
        </w:numPr>
        <w:ind w:left="635" w:leftChars="0" w:hanging="425" w:firstLineChars="0"/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正式实施阶段（基于合作意向达成一致）</w:t>
      </w:r>
    </w:p>
    <w:p w14:paraId="3A4C92F3">
      <w:pPr>
        <w:numPr>
          <w:ilvl w:val="0"/>
          <w:numId w:val="11"/>
        </w:numPr>
        <w:ind w:left="0" w:leftChars="0" w:firstLine="360" w:firstLineChars="200"/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环境确认与测试执行可同时进行；</w:t>
      </w:r>
    </w:p>
    <w:p w14:paraId="72E5A494">
      <w:pPr>
        <w:numPr>
          <w:ilvl w:val="0"/>
          <w:numId w:val="11"/>
        </w:numPr>
        <w:ind w:left="0" w:leftChars="0" w:firstLine="360" w:firstLineChars="200"/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测试执行：（测试方式分为两种，委托方远程演示和测试单位执行）</w:t>
      </w:r>
    </w:p>
    <w:p w14:paraId="38F53F2B">
      <w:pPr>
        <w:numPr>
          <w:ilvl w:val="0"/>
          <w:numId w:val="0"/>
        </w:numPr>
        <w:ind w:leftChars="200"/>
        <w:rPr>
          <w:rFonts w:hint="eastAsia"/>
          <w:b w:val="0"/>
          <w:bCs w:val="0"/>
          <w:color w:val="FF0000"/>
          <w:highlight w:val="none"/>
          <w:lang w:val="en-US" w:eastAsia="zh-CN"/>
        </w:rPr>
      </w:pPr>
      <w:r>
        <w:rPr>
          <w:rFonts w:hint="eastAsia"/>
          <w:b w:val="0"/>
          <w:bCs w:val="0"/>
          <w:color w:val="FF0000"/>
          <w:highlight w:val="none"/>
          <w:lang w:val="en-US" w:eastAsia="zh-CN"/>
        </w:rPr>
        <w:t>委托方远程演示：根据具体测试项或用例数和被测件复杂度决定</w:t>
      </w:r>
    </w:p>
    <w:p w14:paraId="0364DC95">
      <w:pPr>
        <w:numPr>
          <w:ilvl w:val="0"/>
          <w:numId w:val="11"/>
        </w:numPr>
        <w:ind w:left="0" w:leftChars="0" w:firstLine="360" w:firstLineChars="200"/>
        <w:rPr>
          <w:rFonts w:hint="default"/>
          <w:color w:val="FF0000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测试总结：依据测试结果，出具测试报告</w:t>
      </w:r>
      <w:r>
        <w:rPr>
          <w:rFonts w:hint="eastAsia"/>
          <w:b w:val="0"/>
          <w:bCs w:val="0"/>
          <w:color w:val="FF0000"/>
          <w:highlight w:val="none"/>
          <w:lang w:val="en-US" w:eastAsia="zh-CN"/>
        </w:rPr>
        <w:t>（测试结果达成一致后，5-10工作日出</w:t>
      </w:r>
      <w:r>
        <w:rPr>
          <w:rFonts w:hint="eastAsia"/>
          <w:color w:val="FF0000"/>
          <w:highlight w:val="none"/>
          <w:lang w:val="en-US" w:eastAsia="zh-CN"/>
        </w:rPr>
        <w:t>具测试报告）</w:t>
      </w:r>
    </w:p>
    <w:p w14:paraId="1034C42B">
      <w:pPr>
        <w:numPr>
          <w:ilvl w:val="0"/>
          <w:numId w:val="5"/>
        </w:numPr>
        <w:ind w:left="0" w:leftChars="0" w:firstLine="0" w:firstLineChars="0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其他要求</w:t>
      </w:r>
    </w:p>
    <w:p w14:paraId="732EC15B">
      <w:pPr>
        <w:numPr>
          <w:ilvl w:val="0"/>
          <w:numId w:val="12"/>
        </w:numPr>
        <w:ind w:left="635" w:leftChars="0" w:hanging="425" w:firstLineChars="0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default"/>
          <w:b/>
          <w:bCs/>
          <w:color w:val="auto"/>
          <w:highlight w:val="none"/>
          <w:lang w:val="en-US" w:eastAsia="zh-CN"/>
        </w:rPr>
        <w:t>支付方式和时间如下：</w:t>
      </w:r>
    </w:p>
    <w:p w14:paraId="454E8BE0"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 xml:space="preserve">发票种类：增值税专用发票，税率6%                       </w:t>
      </w:r>
    </w:p>
    <w:p w14:paraId="325777F7"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 xml:space="preserve">发票内容：技术服务费                                 </w:t>
      </w:r>
    </w:p>
    <w:p w14:paraId="2B021984"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测试方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开户银行名称、地址和帐号为：</w:t>
      </w:r>
    </w:p>
    <w:p w14:paraId="59C175E9"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 xml:space="preserve">户    名： 中国电子技术标准化研究院                      </w:t>
      </w:r>
    </w:p>
    <w:p w14:paraId="7A154A85"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 xml:space="preserve">开户银行： 工行北京北新桥支行                            </w:t>
      </w:r>
    </w:p>
    <w:p w14:paraId="166DCFDF"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 xml:space="preserve">地    址： 北京市东城区安定门东大街1号                        </w:t>
      </w:r>
    </w:p>
    <w:p w14:paraId="4E29B085"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 xml:space="preserve">帐    号： 0200 0043 0908 8116 710                           </w:t>
      </w:r>
    </w:p>
    <w:p w14:paraId="58088E04">
      <w:pPr>
        <w:numPr>
          <w:ilvl w:val="0"/>
          <w:numId w:val="12"/>
        </w:numPr>
        <w:ind w:left="635" w:leftChars="0" w:hanging="425" w:firstLineChars="0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default"/>
          <w:b/>
          <w:bCs/>
          <w:color w:val="auto"/>
          <w:highlight w:val="none"/>
          <w:lang w:val="en-US" w:eastAsia="zh-CN"/>
        </w:rPr>
        <w:t>双方确定</w:t>
      </w:r>
      <w:r>
        <w:rPr>
          <w:rFonts w:hint="eastAsia"/>
          <w:b/>
          <w:bCs/>
          <w:color w:val="auto"/>
          <w:highlight w:val="none"/>
          <w:lang w:val="en-US" w:eastAsia="zh-CN"/>
        </w:rPr>
        <w:t>并</w:t>
      </w:r>
      <w:r>
        <w:rPr>
          <w:rFonts w:hint="default"/>
          <w:b/>
          <w:bCs/>
          <w:color w:val="auto"/>
          <w:highlight w:val="none"/>
          <w:lang w:val="en-US" w:eastAsia="zh-CN"/>
        </w:rPr>
        <w:t>遵守的保密义务如下：</w:t>
      </w:r>
    </w:p>
    <w:p w14:paraId="43E78230">
      <w:pPr>
        <w:numPr>
          <w:ilvl w:val="0"/>
          <w:numId w:val="13"/>
        </w:numPr>
        <w:ind w:left="0" w:leftChars="0" w:firstLine="36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保密内容:  包括但不限于本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约定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、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测试方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向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委托方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披露的与本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项目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有关的，不为公众所知悉的任何技术秘密、技术信息、产品信息和经营信息等。</w:t>
      </w:r>
    </w:p>
    <w:p w14:paraId="6355226A">
      <w:pPr>
        <w:numPr>
          <w:ilvl w:val="0"/>
          <w:numId w:val="13"/>
        </w:numPr>
        <w:ind w:left="0" w:leftChars="0" w:firstLine="36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涉密人员范围: 参与本项目人员       。</w:t>
      </w:r>
    </w:p>
    <w:p w14:paraId="381C33C3">
      <w:pPr>
        <w:numPr>
          <w:ilvl w:val="0"/>
          <w:numId w:val="13"/>
        </w:numPr>
        <w:ind w:left="0" w:leftChars="0" w:firstLine="36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保密期限：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委托方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应一直保守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测试方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的保密信息，直到该信息成为公开信息为止    。</w:t>
      </w:r>
    </w:p>
    <w:p w14:paraId="6EAB4638">
      <w:pPr>
        <w:numPr>
          <w:ilvl w:val="0"/>
          <w:numId w:val="13"/>
        </w:numPr>
        <w:ind w:left="0" w:leftChars="0" w:firstLine="36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泄密责任：如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委托方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发生泄密情况，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测试方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有权根据泄密的范围和程度要求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委托方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及时制止并赔偿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测试方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直接损失。</w:t>
      </w:r>
    </w:p>
    <w:p w14:paraId="35B916A9">
      <w:pPr>
        <w:numPr>
          <w:ilvl w:val="0"/>
          <w:numId w:val="13"/>
        </w:numPr>
        <w:ind w:left="0" w:leftChars="0" w:firstLine="36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技术服务工作成果的验收方法：由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委托方和测试方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 xml:space="preserve">双方组织验收。       </w:t>
      </w:r>
    </w:p>
    <w:p w14:paraId="4F94478B">
      <w:pPr>
        <w:numPr>
          <w:ilvl w:val="0"/>
          <w:numId w:val="13"/>
        </w:numPr>
        <w:ind w:left="0" w:leftChars="0" w:firstLine="36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验收地点：双方协商或双方共同指定验收地点。</w:t>
      </w:r>
    </w:p>
    <w:p w14:paraId="356F5B09">
      <w:pPr>
        <w:numPr>
          <w:ilvl w:val="0"/>
          <w:numId w:val="12"/>
        </w:numPr>
        <w:ind w:left="635" w:leftChars="0" w:hanging="425" w:firstLineChars="0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default"/>
          <w:b/>
          <w:bCs/>
          <w:color w:val="auto"/>
          <w:highlight w:val="none"/>
          <w:lang w:val="en-US" w:eastAsia="zh-CN"/>
        </w:rPr>
        <w:t>在</w:t>
      </w:r>
      <w:r>
        <w:rPr>
          <w:rFonts w:hint="eastAsia"/>
          <w:b/>
          <w:bCs/>
          <w:color w:val="auto"/>
          <w:highlight w:val="none"/>
          <w:lang w:val="en-US" w:eastAsia="zh-CN"/>
        </w:rPr>
        <w:t>项目</w:t>
      </w:r>
      <w:r>
        <w:rPr>
          <w:rFonts w:hint="default"/>
          <w:b/>
          <w:bCs/>
          <w:color w:val="auto"/>
          <w:highlight w:val="none"/>
          <w:lang w:val="en-US" w:eastAsia="zh-CN"/>
        </w:rPr>
        <w:t>有效期内，</w:t>
      </w:r>
      <w:r>
        <w:rPr>
          <w:rFonts w:hint="eastAsia"/>
          <w:b/>
          <w:bCs/>
          <w:color w:val="auto"/>
          <w:highlight w:val="none"/>
          <w:lang w:val="en-US" w:eastAsia="zh-CN"/>
        </w:rPr>
        <w:t>委托方</w:t>
      </w:r>
      <w:r>
        <w:rPr>
          <w:rFonts w:hint="default"/>
          <w:b/>
          <w:bCs/>
          <w:color w:val="auto"/>
          <w:highlight w:val="none"/>
          <w:lang w:val="en-US" w:eastAsia="zh-CN"/>
        </w:rPr>
        <w:t>利用</w:t>
      </w:r>
      <w:r>
        <w:rPr>
          <w:rFonts w:hint="eastAsia"/>
          <w:b/>
          <w:bCs/>
          <w:color w:val="auto"/>
          <w:highlight w:val="none"/>
          <w:lang w:val="en-US" w:eastAsia="zh-CN"/>
        </w:rPr>
        <w:t>测试方</w:t>
      </w:r>
      <w:r>
        <w:rPr>
          <w:rFonts w:hint="default"/>
          <w:b/>
          <w:bCs/>
          <w:color w:val="auto"/>
          <w:highlight w:val="none"/>
          <w:lang w:val="en-US" w:eastAsia="zh-CN"/>
        </w:rPr>
        <w:t>提交的技术服务工作成果所完成的新的技术成果，归</w:t>
      </w:r>
      <w:r>
        <w:rPr>
          <w:rFonts w:hint="eastAsia"/>
          <w:b/>
          <w:bCs/>
          <w:color w:val="auto"/>
          <w:highlight w:val="none"/>
          <w:lang w:val="en-US" w:eastAsia="zh-CN"/>
        </w:rPr>
        <w:t>委托方</w:t>
      </w:r>
      <w:r>
        <w:rPr>
          <w:rFonts w:hint="default"/>
          <w:b/>
          <w:bCs/>
          <w:color w:val="auto"/>
          <w:highlight w:val="none"/>
          <w:lang w:val="en-US" w:eastAsia="zh-CN"/>
        </w:rPr>
        <w:t>所有。</w:t>
      </w:r>
    </w:p>
    <w:p w14:paraId="6A8A1BEA">
      <w:pPr>
        <w:numPr>
          <w:ilvl w:val="0"/>
          <w:numId w:val="12"/>
        </w:numPr>
        <w:ind w:left="635" w:leftChars="0" w:hanging="425" w:firstLineChars="0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default"/>
          <w:b/>
          <w:bCs/>
          <w:color w:val="auto"/>
          <w:highlight w:val="none"/>
          <w:lang w:val="en-US" w:eastAsia="zh-CN"/>
        </w:rPr>
        <w:t>双方确定，按以下约定承担各自的违约责任：</w:t>
      </w:r>
    </w:p>
    <w:p w14:paraId="4FDC434C">
      <w:pPr>
        <w:numPr>
          <w:ilvl w:val="0"/>
          <w:numId w:val="14"/>
        </w:numPr>
        <w:ind w:left="0" w:leftChars="0" w:firstLine="36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应当因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委托方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原因未按约定付款，每逾期一日，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测试方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有权要求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委托方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支付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项目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总金额的千分之二作为违约金，累计支付的逾期付款违约金不超过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项目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总金额的20% ，但因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测试方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未按约完成技术服务导致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委托方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未按约付款的，不视为违约 。</w:t>
      </w:r>
    </w:p>
    <w:p w14:paraId="7F7C1536">
      <w:pPr>
        <w:numPr>
          <w:ilvl w:val="0"/>
          <w:numId w:val="14"/>
        </w:numPr>
        <w:ind w:left="0" w:leftChars="0" w:firstLine="36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当因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测试方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原因未按约定完成技术服务，每逾期一日，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委托方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有权要求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测试方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支付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项目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总金额的千分之二作为违约金，累计支付的逾期付款违约金不超过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项目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总金额的20%。</w:t>
      </w:r>
    </w:p>
    <w:p w14:paraId="65379ABD">
      <w:pPr>
        <w:numPr>
          <w:ilvl w:val="0"/>
          <w:numId w:val="12"/>
        </w:numPr>
        <w:ind w:left="635" w:leftChars="0" w:hanging="425" w:firstLineChars="0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default"/>
          <w:b/>
          <w:bCs/>
          <w:color w:val="auto"/>
          <w:highlight w:val="none"/>
          <w:lang w:val="en-US" w:eastAsia="zh-CN"/>
        </w:rPr>
        <w:t>双方确定，在</w:t>
      </w:r>
      <w:r>
        <w:rPr>
          <w:rFonts w:hint="eastAsia"/>
          <w:b/>
          <w:bCs/>
          <w:color w:val="auto"/>
          <w:highlight w:val="none"/>
          <w:lang w:val="en-US" w:eastAsia="zh-CN"/>
        </w:rPr>
        <w:t>项目</w:t>
      </w:r>
      <w:r>
        <w:rPr>
          <w:rFonts w:hint="default"/>
          <w:b/>
          <w:bCs/>
          <w:color w:val="auto"/>
          <w:highlight w:val="none"/>
          <w:lang w:val="en-US" w:eastAsia="zh-CN"/>
        </w:rPr>
        <w:t>有效期内。项目联系人承担以下责任：</w:t>
      </w:r>
    </w:p>
    <w:p w14:paraId="03311C62">
      <w:pPr>
        <w:numPr>
          <w:ilvl w:val="0"/>
          <w:numId w:val="15"/>
        </w:numPr>
        <w:ind w:left="0" w:leftChars="0" w:firstLine="36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负责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项目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的联络、沟通、协调，及与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项目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执行相关的事宜，项目联系人收到的信息被视为其代表的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项目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主体收到相同信息。一方变更项目联系人的，应当及时以书面形式通知另一方。未及时通知并影响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项目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履行或造成损失的，应承担相应的责任。</w:t>
      </w:r>
    </w:p>
    <w:p w14:paraId="56A033D2">
      <w:pPr>
        <w:numPr>
          <w:ilvl w:val="0"/>
          <w:numId w:val="15"/>
        </w:numPr>
        <w:ind w:left="0" w:leftChars="0" w:firstLine="36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若因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委托方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业务发展变化，提前30天书面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测试方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的，可以解除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项目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，双方同意按实际发生的工作量结算。</w:t>
      </w:r>
    </w:p>
    <w:p w14:paraId="69E724BC">
      <w:pPr>
        <w:numPr>
          <w:ilvl w:val="0"/>
          <w:numId w:val="12"/>
        </w:numPr>
        <w:ind w:left="635" w:leftChars="0" w:hanging="425" w:firstLineChars="0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default"/>
          <w:b/>
          <w:bCs/>
          <w:color w:val="auto"/>
          <w:highlight w:val="none"/>
          <w:lang w:val="en-US" w:eastAsia="zh-CN"/>
        </w:rPr>
        <w:t>双方确定，出现下列情形，致使</w:t>
      </w:r>
      <w:r>
        <w:rPr>
          <w:rFonts w:hint="eastAsia"/>
          <w:b/>
          <w:bCs/>
          <w:color w:val="auto"/>
          <w:highlight w:val="none"/>
          <w:lang w:val="en-US" w:eastAsia="zh-CN"/>
        </w:rPr>
        <w:t>项目</w:t>
      </w:r>
      <w:r>
        <w:rPr>
          <w:rFonts w:hint="default"/>
          <w:b/>
          <w:bCs/>
          <w:color w:val="auto"/>
          <w:highlight w:val="none"/>
          <w:lang w:val="en-US" w:eastAsia="zh-CN"/>
        </w:rPr>
        <w:t>的履行成为不必要或不可能的，可以解除</w:t>
      </w:r>
      <w:r>
        <w:rPr>
          <w:rFonts w:hint="eastAsia"/>
          <w:b/>
          <w:bCs/>
          <w:color w:val="auto"/>
          <w:highlight w:val="none"/>
          <w:lang w:val="en-US" w:eastAsia="zh-CN"/>
        </w:rPr>
        <w:t>项目</w:t>
      </w:r>
      <w:r>
        <w:rPr>
          <w:rFonts w:hint="default"/>
          <w:b/>
          <w:bCs/>
          <w:color w:val="auto"/>
          <w:highlight w:val="none"/>
          <w:lang w:val="en-US" w:eastAsia="zh-CN"/>
        </w:rPr>
        <w:t>：</w:t>
      </w:r>
    </w:p>
    <w:p w14:paraId="3D1AD4E4">
      <w:pPr>
        <w:numPr>
          <w:ilvl w:val="0"/>
          <w:numId w:val="16"/>
        </w:numPr>
        <w:ind w:left="0" w:leftChars="0" w:firstLine="36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发生不可抗力。</w:t>
      </w:r>
    </w:p>
    <w:p w14:paraId="7649ECE4">
      <w:pPr>
        <w:numPr>
          <w:ilvl w:val="0"/>
          <w:numId w:val="12"/>
        </w:numPr>
        <w:ind w:left="635" w:leftChars="0" w:hanging="425" w:firstLineChars="0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default"/>
          <w:b/>
          <w:bCs/>
          <w:color w:val="auto"/>
          <w:highlight w:val="none"/>
          <w:lang w:val="en-US" w:eastAsia="zh-CN"/>
        </w:rPr>
        <w:t>双方因履行</w:t>
      </w:r>
      <w:r>
        <w:rPr>
          <w:rFonts w:hint="eastAsia"/>
          <w:b/>
          <w:bCs/>
          <w:color w:val="auto"/>
          <w:highlight w:val="none"/>
          <w:lang w:val="en-US" w:eastAsia="zh-CN"/>
        </w:rPr>
        <w:t>项目</w:t>
      </w:r>
      <w:r>
        <w:rPr>
          <w:rFonts w:hint="default"/>
          <w:b/>
          <w:bCs/>
          <w:color w:val="auto"/>
          <w:highlight w:val="none"/>
          <w:lang w:val="en-US" w:eastAsia="zh-CN"/>
        </w:rPr>
        <w:t>而发生的争议，应协商、调解解决。协商、调解不成的，确定按以下第2种方式处理：</w:t>
      </w:r>
    </w:p>
    <w:p w14:paraId="2CF3D160">
      <w:pPr>
        <w:numPr>
          <w:ilvl w:val="0"/>
          <w:numId w:val="17"/>
        </w:numPr>
        <w:ind w:left="0" w:leftChars="0" w:firstLine="36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提交 北京 仲裁委员会仲裁；</w:t>
      </w:r>
    </w:p>
    <w:p w14:paraId="5EDA3142">
      <w:pPr>
        <w:numPr>
          <w:ilvl w:val="0"/>
          <w:numId w:val="17"/>
        </w:numPr>
        <w:ind w:left="0" w:leftChars="0" w:firstLine="36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依法向被起诉方人民法院起诉。</w:t>
      </w:r>
    </w:p>
    <w:p w14:paraId="37BFD10C">
      <w:pPr>
        <w:numPr>
          <w:ilvl w:val="0"/>
          <w:numId w:val="12"/>
        </w:numPr>
        <w:ind w:left="635" w:leftChars="0" w:hanging="425" w:firstLineChars="0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default"/>
          <w:b/>
          <w:bCs/>
          <w:color w:val="auto"/>
          <w:highlight w:val="none"/>
          <w:lang w:val="en-US" w:eastAsia="zh-CN"/>
        </w:rPr>
        <w:t>与履行</w:t>
      </w:r>
      <w:r>
        <w:rPr>
          <w:rFonts w:hint="eastAsia"/>
          <w:b/>
          <w:bCs/>
          <w:color w:val="auto"/>
          <w:highlight w:val="none"/>
          <w:lang w:val="en-US" w:eastAsia="zh-CN"/>
        </w:rPr>
        <w:t>项目</w:t>
      </w:r>
      <w:r>
        <w:rPr>
          <w:rFonts w:hint="default"/>
          <w:b/>
          <w:bCs/>
          <w:color w:val="auto"/>
          <w:highlight w:val="none"/>
          <w:lang w:val="en-US" w:eastAsia="zh-CN"/>
        </w:rPr>
        <w:t>有关的下列技术文件，经双方以书面确认方式确认后，为</w:t>
      </w:r>
      <w:r>
        <w:rPr>
          <w:rFonts w:hint="eastAsia"/>
          <w:b/>
          <w:bCs/>
          <w:color w:val="auto"/>
          <w:highlight w:val="none"/>
          <w:lang w:val="en-US" w:eastAsia="zh-CN"/>
        </w:rPr>
        <w:t>项目</w:t>
      </w:r>
      <w:r>
        <w:rPr>
          <w:rFonts w:hint="default"/>
          <w:b/>
          <w:bCs/>
          <w:color w:val="auto"/>
          <w:highlight w:val="none"/>
          <w:lang w:val="en-US" w:eastAsia="zh-CN"/>
        </w:rPr>
        <w:t>的组成部分：</w:t>
      </w:r>
    </w:p>
    <w:p w14:paraId="3D354A52">
      <w:pPr>
        <w:numPr>
          <w:ilvl w:val="0"/>
          <w:numId w:val="18"/>
        </w:numPr>
        <w:ind w:left="0" w:leftChars="0" w:firstLine="36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技术背景资料： 无  ；</w:t>
      </w:r>
    </w:p>
    <w:p w14:paraId="1C8E9146">
      <w:pPr>
        <w:numPr>
          <w:ilvl w:val="0"/>
          <w:numId w:val="18"/>
        </w:numPr>
        <w:ind w:left="0" w:leftChars="0" w:firstLine="36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 xml:space="preserve">可行性论证报告：无   ；    </w:t>
      </w:r>
    </w:p>
    <w:p w14:paraId="7034E119">
      <w:pPr>
        <w:numPr>
          <w:ilvl w:val="0"/>
          <w:numId w:val="18"/>
        </w:numPr>
        <w:ind w:left="0" w:leftChars="0" w:firstLine="36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 xml:space="preserve">技术评价报告：   无   ；       </w:t>
      </w:r>
    </w:p>
    <w:p w14:paraId="68DE8D34">
      <w:pPr>
        <w:numPr>
          <w:ilvl w:val="0"/>
          <w:numId w:val="18"/>
        </w:numPr>
        <w:ind w:left="0" w:leftChars="0" w:firstLine="36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 xml:space="preserve">原始设计和工艺文件： 无     ；   </w:t>
      </w:r>
    </w:p>
    <w:p w14:paraId="6FD333DD">
      <w:pPr>
        <w:numPr>
          <w:ilvl w:val="0"/>
          <w:numId w:val="18"/>
        </w:numPr>
        <w:ind w:left="0" w:leftChars="0" w:firstLine="36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其他：无  。</w:t>
      </w:r>
    </w:p>
    <w:p w14:paraId="49EE35E0">
      <w:pPr>
        <w:numPr>
          <w:ilvl w:val="0"/>
          <w:numId w:val="12"/>
        </w:numPr>
        <w:ind w:left="635" w:leftChars="0" w:hanging="425" w:firstLineChars="0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报告结论只针对送检的被测样品有效</w:t>
      </w:r>
    </w:p>
    <w:p w14:paraId="217B7DBD">
      <w:pPr>
        <w:rPr>
          <w:rFonts w:hint="default"/>
          <w:lang w:val="en-US" w:eastAsia="zh-CN"/>
        </w:rPr>
      </w:pPr>
    </w:p>
    <w:p w14:paraId="108A49CF">
      <w:pPr>
        <w:rPr>
          <w:rFonts w:hint="default"/>
          <w:lang w:val="en-US" w:eastAsia="zh-CN"/>
        </w:rPr>
      </w:pPr>
    </w:p>
    <w:bookmarkEnd w:id="13"/>
    <w:p w14:paraId="57C07FB3">
      <w:pPr>
        <w:snapToGrid w:val="0"/>
        <w:spacing w:before="156" w:beforeLines="50" w:after="156" w:afterLines="50"/>
        <w:rPr>
          <w:rFonts w:cs="Calibri" w:asciiTheme="minorEastAsia" w:hAnsiTheme="minorEastAsia" w:eastAsiaTheme="minorEastAsia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12" w:right="1800" w:bottom="1440" w:left="1800" w:header="779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5005" w:type="pct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03"/>
      <w:gridCol w:w="2924"/>
      <w:gridCol w:w="2604"/>
    </w:tblGrid>
    <w:tr w14:paraId="64EA9455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rPr>
        <w:trHeight w:val="257" w:hRule="atLeast"/>
      </w:trPr>
      <w:tc>
        <w:tcPr>
          <w:tcW w:w="1760" w:type="pct"/>
        </w:tcPr>
        <w:p w14:paraId="75DE2404">
          <w:pPr>
            <w:pStyle w:val="10"/>
          </w:pPr>
          <w:r>
            <w:fldChar w:fldCharType="begin"/>
          </w:r>
          <w:r>
            <w:instrText xml:space="preserve"> TIME \@ "yyyy-M-d" </w:instrText>
          </w:r>
          <w:r>
            <w:fldChar w:fldCharType="separate"/>
          </w:r>
          <w:r>
            <w:t>2026-</w:t>
          </w:r>
          <w:r>
            <w:rPr>
              <w:rFonts w:hint="eastAsia"/>
              <w:lang w:val="en-US" w:eastAsia="zh-CN"/>
            </w:rPr>
            <w:t>1</w:t>
          </w:r>
          <w:r>
            <w:t>-</w:t>
          </w:r>
          <w:r>
            <w:rPr>
              <w:rFonts w:hint="eastAsia"/>
              <w:lang w:val="en-US" w:eastAsia="zh-CN"/>
            </w:rPr>
            <w:t>1</w:t>
          </w:r>
          <w:r>
            <w:fldChar w:fldCharType="end"/>
          </w:r>
        </w:p>
      </w:tc>
      <w:tc>
        <w:tcPr>
          <w:tcW w:w="1714" w:type="pct"/>
        </w:tcPr>
        <w:p w14:paraId="659208A9">
          <w:pPr>
            <w:pStyle w:val="10"/>
          </w:pPr>
          <w:r>
            <w:rPr>
              <w:rFonts w:hint="eastAsia"/>
            </w:rPr>
            <w:t>未经授权禁止扩散</w:t>
          </w:r>
        </w:p>
      </w:tc>
      <w:tc>
        <w:tcPr>
          <w:tcW w:w="1526" w:type="pct"/>
        </w:tcPr>
        <w:p w14:paraId="05AB3FA9">
          <w:pPr>
            <w:pStyle w:val="10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</w:rPr>
            <w:t>页</w:t>
          </w:r>
        </w:p>
      </w:tc>
    </w:tr>
  </w:tbl>
  <w:p w14:paraId="487A0A42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50C5F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273E9">
    <w:pPr>
      <w:pStyle w:val="1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5000" w:type="pct"/>
      <w:tblInd w:w="0" w:type="dxa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57" w:type="dxa"/>
        <w:bottom w:w="0" w:type="dxa"/>
        <w:right w:w="57" w:type="dxa"/>
      </w:tblCellMar>
    </w:tblPr>
    <w:tblGrid>
      <w:gridCol w:w="842"/>
      <w:gridCol w:w="5894"/>
      <w:gridCol w:w="1684"/>
    </w:tblGrid>
    <w:tr w14:paraId="68605CD0"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57" w:type="dxa"/>
          <w:bottom w:w="0" w:type="dxa"/>
          <w:right w:w="57" w:type="dxa"/>
        </w:tblCellMar>
      </w:tblPrEx>
      <w:trPr>
        <w:cantSplit/>
        <w:trHeight w:val="782" w:hRule="exact"/>
      </w:trPr>
      <w:tc>
        <w:tcPr>
          <w:tcW w:w="500" w:type="pct"/>
        </w:tcPr>
        <w:p w14:paraId="7D8A4D87">
          <w:pPr>
            <w:rPr>
              <w:rFonts w:hint="eastAsia" w:ascii="Dotum" w:hAnsi="Dotum" w:eastAsia="宋体"/>
              <w:lang w:eastAsia="zh-CN"/>
            </w:rPr>
          </w:pPr>
          <w:r>
            <w:rPr>
              <w:rFonts w:hint="eastAsia" w:ascii="Dotum" w:hAnsi="Dotum" w:eastAsia="宋体"/>
              <w:lang w:eastAsia="zh-CN"/>
            </w:rPr>
            <w:drawing>
              <wp:inline distT="0" distB="0" distL="114300" distR="114300">
                <wp:extent cx="457200" cy="457200"/>
                <wp:effectExtent l="0" t="0" r="0" b="0"/>
                <wp:docPr id="1" name="图片 1" descr="研究院图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研究院图标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0" w:type="pct"/>
          <w:vAlign w:val="bottom"/>
        </w:tcPr>
        <w:p w14:paraId="1F21CC93">
          <w:pPr>
            <w:pStyle w:val="11"/>
            <w:rPr>
              <w:rFonts w:hint="eastAsia" w:ascii="宋体" w:hAnsi="宋体" w:eastAsia="宋体"/>
              <w:lang w:eastAsia="zh-CN"/>
            </w:rPr>
          </w:pPr>
          <w:r>
            <w:rPr>
              <w:rFonts w:hint="eastAsia" w:ascii="宋体" w:hAnsi="宋体"/>
              <w:lang w:eastAsia="zh-CN"/>
            </w:rPr>
            <w:t>使用指南</w:t>
          </w:r>
        </w:p>
      </w:tc>
      <w:tc>
        <w:tcPr>
          <w:tcW w:w="1000" w:type="pct"/>
          <w:vAlign w:val="bottom"/>
        </w:tcPr>
        <w:p w14:paraId="0DB06057">
          <w:pPr>
            <w:pStyle w:val="11"/>
            <w:rPr>
              <w:rFonts w:hint="eastAsia" w:ascii="宋体" w:hAnsi="宋体" w:eastAsia="宋体"/>
              <w:lang w:eastAsia="zh-CN"/>
            </w:rPr>
          </w:pPr>
          <w:r>
            <w:rPr>
              <w:rFonts w:hint="eastAsia" w:ascii="宋体" w:hAnsi="宋体"/>
            </w:rPr>
            <w:t>文档密级</w:t>
          </w:r>
          <w:r>
            <w:rPr>
              <w:rFonts w:hint="eastAsia" w:ascii="宋体" w:hAnsi="宋体"/>
              <w:lang w:eastAsia="zh-CN"/>
            </w:rPr>
            <w:t>：公开</w:t>
          </w:r>
        </w:p>
      </w:tc>
    </w:tr>
  </w:tbl>
  <w:p w14:paraId="7C94D994">
    <w:pPr>
      <w:pStyle w:val="11"/>
      <w:rPr>
        <w:rFonts w:ascii="DotumChe" w:hAnsi="DotumChe" w:eastAsia="DotumCh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A46CF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D0A4B">
    <w:pPr>
      <w:pStyle w:val="1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1B271C"/>
    <w:multiLevelType w:val="singleLevel"/>
    <w:tmpl w:val="881B271C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8FB7E08C"/>
    <w:multiLevelType w:val="singleLevel"/>
    <w:tmpl w:val="8FB7E08C"/>
    <w:lvl w:ilvl="0" w:tentative="0">
      <w:start w:val="1"/>
      <w:numFmt w:val="decimal"/>
      <w:lvlText w:val="%1)"/>
      <w:lvlJc w:val="left"/>
      <w:pPr>
        <w:ind w:left="635" w:hanging="425"/>
      </w:pPr>
      <w:rPr>
        <w:rFonts w:hint="default"/>
      </w:rPr>
    </w:lvl>
  </w:abstractNum>
  <w:abstractNum w:abstractNumId="2">
    <w:nsid w:val="A0F19A06"/>
    <w:multiLevelType w:val="singleLevel"/>
    <w:tmpl w:val="A0F19A0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B1329BB2"/>
    <w:multiLevelType w:val="singleLevel"/>
    <w:tmpl w:val="B1329BB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D7C6C1C7"/>
    <w:multiLevelType w:val="singleLevel"/>
    <w:tmpl w:val="D7C6C1C7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>
    <w:nsid w:val="D7D62296"/>
    <w:multiLevelType w:val="singleLevel"/>
    <w:tmpl w:val="D7D6229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">
    <w:nsid w:val="E10D9B1C"/>
    <w:multiLevelType w:val="singleLevel"/>
    <w:tmpl w:val="E10D9B1C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">
    <w:nsid w:val="EE8AEFE7"/>
    <w:multiLevelType w:val="singleLevel"/>
    <w:tmpl w:val="EE8AEFE7"/>
    <w:lvl w:ilvl="0" w:tentative="0">
      <w:start w:val="1"/>
      <w:numFmt w:val="decimal"/>
      <w:lvlText w:val="%1)"/>
      <w:lvlJc w:val="left"/>
      <w:pPr>
        <w:ind w:left="635" w:hanging="425"/>
      </w:pPr>
      <w:rPr>
        <w:rFonts w:hint="default"/>
      </w:rPr>
    </w:lvl>
  </w:abstractNum>
  <w:abstractNum w:abstractNumId="8">
    <w:nsid w:val="EF33351C"/>
    <w:multiLevelType w:val="singleLevel"/>
    <w:tmpl w:val="EF33351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>
    <w:nsid w:val="F596D89C"/>
    <w:multiLevelType w:val="singleLevel"/>
    <w:tmpl w:val="F596D89C"/>
    <w:lvl w:ilvl="0" w:tentative="0">
      <w:start w:val="1"/>
      <w:numFmt w:val="decimal"/>
      <w:lvlText w:val="%1)"/>
      <w:lvlJc w:val="left"/>
      <w:pPr>
        <w:ind w:left="635" w:hanging="425"/>
      </w:pPr>
      <w:rPr>
        <w:rFonts w:hint="default"/>
      </w:rPr>
    </w:lvl>
  </w:abstractNum>
  <w:abstractNum w:abstractNumId="10">
    <w:nsid w:val="07B28C93"/>
    <w:multiLevelType w:val="singleLevel"/>
    <w:tmpl w:val="07B28C93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1">
    <w:nsid w:val="2362C0AA"/>
    <w:multiLevelType w:val="singleLevel"/>
    <w:tmpl w:val="2362C0AA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2">
    <w:nsid w:val="2CBA676F"/>
    <w:multiLevelType w:val="singleLevel"/>
    <w:tmpl w:val="2CBA676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3">
    <w:nsid w:val="3CB4678A"/>
    <w:multiLevelType w:val="singleLevel"/>
    <w:tmpl w:val="3CB4678A"/>
    <w:lvl w:ilvl="0" w:tentative="0">
      <w:start w:val="1"/>
      <w:numFmt w:val="decimal"/>
      <w:lvlText w:val="%1)"/>
      <w:lvlJc w:val="left"/>
      <w:pPr>
        <w:ind w:left="635" w:hanging="425"/>
      </w:pPr>
      <w:rPr>
        <w:rFonts w:hint="default"/>
      </w:rPr>
    </w:lvl>
  </w:abstractNum>
  <w:abstractNum w:abstractNumId="14">
    <w:nsid w:val="42FE570A"/>
    <w:multiLevelType w:val="multilevel"/>
    <w:tmpl w:val="42FE570A"/>
    <w:lvl w:ilvl="0" w:tentative="0">
      <w:start w:val="1"/>
      <w:numFmt w:val="decimal"/>
      <w:suff w:val="nothing"/>
      <w:lvlText w:val="%1  "/>
      <w:lvlJc w:val="left"/>
      <w:pPr>
        <w:ind w:left="0" w:firstLine="0"/>
      </w:pPr>
      <w:rPr>
        <w:rFonts w:hint="default" w:ascii="Arial" w:hAnsi="Arial" w:eastAsia="黑体"/>
        <w:b w:val="0"/>
        <w:i w:val="0"/>
        <w:sz w:val="36"/>
        <w:szCs w:val="36"/>
      </w:rPr>
    </w:lvl>
    <w:lvl w:ilvl="1" w:tentative="0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 w:ascii="Arial" w:hAnsi="Arial"/>
        <w:b w:val="0"/>
        <w:i w:val="0"/>
        <w:sz w:val="30"/>
        <w:szCs w:val="30"/>
      </w:rPr>
    </w:lvl>
    <w:lvl w:ilvl="2" w:tentative="0">
      <w:start w:val="1"/>
      <w:numFmt w:val="decimal"/>
      <w:suff w:val="nothing"/>
      <w:lvlText w:val="%1.%2.%3  "/>
      <w:lvlJc w:val="left"/>
      <w:pPr>
        <w:ind w:left="0" w:firstLine="0"/>
      </w:pPr>
      <w:rPr>
        <w:rFonts w:hint="default" w:ascii="Arial" w:hAnsi="Arial"/>
        <w:b w:val="0"/>
        <w:i w:val="0"/>
        <w:sz w:val="24"/>
        <w:szCs w:val="24"/>
      </w:rPr>
    </w:lvl>
    <w:lvl w:ilvl="3" w:tentative="0">
      <w:start w:val="1"/>
      <w:numFmt w:val="decimal"/>
      <w:suff w:val="nothing"/>
      <w:lvlText w:val="%1.%2.%3.%4  "/>
      <w:lvlJc w:val="left"/>
      <w:pPr>
        <w:ind w:left="0" w:firstLine="0"/>
      </w:pPr>
      <w:rPr>
        <w:rFonts w:hint="default" w:ascii="Arial" w:hAnsi="Arial"/>
        <w:b w:val="0"/>
        <w:i w:val="0"/>
        <w:sz w:val="21"/>
        <w:szCs w:val="21"/>
      </w:rPr>
    </w:lvl>
    <w:lvl w:ilvl="4" w:tentative="0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pStyle w:val="25"/>
      <w:suff w:val="space"/>
      <w:lvlText w:val="图%8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pStyle w:val="21"/>
      <w:suff w:val="space"/>
      <w:lvlText w:val="表%9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15">
    <w:nsid w:val="5E89C6D2"/>
    <w:multiLevelType w:val="singleLevel"/>
    <w:tmpl w:val="5E89C6D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6">
    <w:nsid w:val="63546429"/>
    <w:multiLevelType w:val="multilevel"/>
    <w:tmpl w:val="63546429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 w:tentative="0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 w:tentative="0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 w:tentative="0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7">
    <w:nsid w:val="72280615"/>
    <w:multiLevelType w:val="singleLevel"/>
    <w:tmpl w:val="72280615"/>
    <w:lvl w:ilvl="0" w:tentative="0">
      <w:start w:val="1"/>
      <w:numFmt w:val="decimal"/>
      <w:lvlText w:val="%1)"/>
      <w:lvlJc w:val="left"/>
      <w:pPr>
        <w:ind w:left="635" w:hanging="425"/>
      </w:pPr>
      <w:rPr>
        <w:rFonts w:hint="default"/>
      </w:rPr>
    </w:lvl>
  </w:abstractNum>
  <w:num w:numId="1">
    <w:abstractNumId w:val="1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17"/>
  </w:num>
  <w:num w:numId="9">
    <w:abstractNumId w:val="15"/>
  </w:num>
  <w:num w:numId="10">
    <w:abstractNumId w:val="9"/>
  </w:num>
  <w:num w:numId="11">
    <w:abstractNumId w:val="11"/>
  </w:num>
  <w:num w:numId="12">
    <w:abstractNumId w:val="13"/>
  </w:num>
  <w:num w:numId="13">
    <w:abstractNumId w:val="3"/>
  </w:num>
  <w:num w:numId="14">
    <w:abstractNumId w:val="0"/>
  </w:num>
  <w:num w:numId="15">
    <w:abstractNumId w:val="6"/>
  </w:num>
  <w:num w:numId="16">
    <w:abstractNumId w:val="2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C9"/>
    <w:rsid w:val="0000290C"/>
    <w:rsid w:val="00011CC9"/>
    <w:rsid w:val="00012249"/>
    <w:rsid w:val="00012935"/>
    <w:rsid w:val="00013127"/>
    <w:rsid w:val="000143AD"/>
    <w:rsid w:val="00035469"/>
    <w:rsid w:val="00052BCF"/>
    <w:rsid w:val="000630B9"/>
    <w:rsid w:val="00063CDD"/>
    <w:rsid w:val="0006715B"/>
    <w:rsid w:val="00075E72"/>
    <w:rsid w:val="00076D60"/>
    <w:rsid w:val="00080C41"/>
    <w:rsid w:val="000840DA"/>
    <w:rsid w:val="00097098"/>
    <w:rsid w:val="000A1410"/>
    <w:rsid w:val="000B0CE2"/>
    <w:rsid w:val="000C1989"/>
    <w:rsid w:val="000C392E"/>
    <w:rsid w:val="000E0A18"/>
    <w:rsid w:val="000F4897"/>
    <w:rsid w:val="000F4C6A"/>
    <w:rsid w:val="000F7C1C"/>
    <w:rsid w:val="001055ED"/>
    <w:rsid w:val="00105642"/>
    <w:rsid w:val="00110FF6"/>
    <w:rsid w:val="001143F5"/>
    <w:rsid w:val="00114A20"/>
    <w:rsid w:val="001205D8"/>
    <w:rsid w:val="00120AB7"/>
    <w:rsid w:val="00122ABE"/>
    <w:rsid w:val="00131BD9"/>
    <w:rsid w:val="00146749"/>
    <w:rsid w:val="001504F0"/>
    <w:rsid w:val="00152B8F"/>
    <w:rsid w:val="00153F34"/>
    <w:rsid w:val="00182236"/>
    <w:rsid w:val="00186146"/>
    <w:rsid w:val="00191842"/>
    <w:rsid w:val="00191AC9"/>
    <w:rsid w:val="00196764"/>
    <w:rsid w:val="001A0241"/>
    <w:rsid w:val="001A2C24"/>
    <w:rsid w:val="001A58D5"/>
    <w:rsid w:val="001B0DC0"/>
    <w:rsid w:val="001B49EE"/>
    <w:rsid w:val="001B6734"/>
    <w:rsid w:val="001C1C0D"/>
    <w:rsid w:val="001C5FB4"/>
    <w:rsid w:val="001D1C74"/>
    <w:rsid w:val="001E4747"/>
    <w:rsid w:val="001F1990"/>
    <w:rsid w:val="001F54AA"/>
    <w:rsid w:val="00206675"/>
    <w:rsid w:val="00227C3F"/>
    <w:rsid w:val="002342CF"/>
    <w:rsid w:val="00247343"/>
    <w:rsid w:val="0026584A"/>
    <w:rsid w:val="002757B3"/>
    <w:rsid w:val="00276CE6"/>
    <w:rsid w:val="00291114"/>
    <w:rsid w:val="00291C45"/>
    <w:rsid w:val="002A297C"/>
    <w:rsid w:val="002A7038"/>
    <w:rsid w:val="002B1EB8"/>
    <w:rsid w:val="002C25D4"/>
    <w:rsid w:val="002C6CAC"/>
    <w:rsid w:val="002D5C25"/>
    <w:rsid w:val="002E0C03"/>
    <w:rsid w:val="002E179B"/>
    <w:rsid w:val="002E62B5"/>
    <w:rsid w:val="002E7ECA"/>
    <w:rsid w:val="002F0424"/>
    <w:rsid w:val="002F3039"/>
    <w:rsid w:val="002F55A1"/>
    <w:rsid w:val="003055E4"/>
    <w:rsid w:val="00307760"/>
    <w:rsid w:val="00311FD3"/>
    <w:rsid w:val="00317DBB"/>
    <w:rsid w:val="00322726"/>
    <w:rsid w:val="00324462"/>
    <w:rsid w:val="0033394D"/>
    <w:rsid w:val="0033668F"/>
    <w:rsid w:val="00360653"/>
    <w:rsid w:val="00362063"/>
    <w:rsid w:val="0036394F"/>
    <w:rsid w:val="003712B6"/>
    <w:rsid w:val="00372E06"/>
    <w:rsid w:val="00380813"/>
    <w:rsid w:val="0038152D"/>
    <w:rsid w:val="00387E77"/>
    <w:rsid w:val="00391FA9"/>
    <w:rsid w:val="00392763"/>
    <w:rsid w:val="00394572"/>
    <w:rsid w:val="003B2B45"/>
    <w:rsid w:val="003C294E"/>
    <w:rsid w:val="003E0D4A"/>
    <w:rsid w:val="003E5C14"/>
    <w:rsid w:val="00413121"/>
    <w:rsid w:val="00413C43"/>
    <w:rsid w:val="00425F62"/>
    <w:rsid w:val="00427D52"/>
    <w:rsid w:val="00442838"/>
    <w:rsid w:val="00445BCF"/>
    <w:rsid w:val="004469C0"/>
    <w:rsid w:val="004472ED"/>
    <w:rsid w:val="004522EA"/>
    <w:rsid w:val="004539BA"/>
    <w:rsid w:val="004642C2"/>
    <w:rsid w:val="004658B2"/>
    <w:rsid w:val="00473E6B"/>
    <w:rsid w:val="00492F7C"/>
    <w:rsid w:val="004A344E"/>
    <w:rsid w:val="004A7B6F"/>
    <w:rsid w:val="004B1C64"/>
    <w:rsid w:val="004B50B6"/>
    <w:rsid w:val="004C7634"/>
    <w:rsid w:val="004E3C2A"/>
    <w:rsid w:val="004E4A6B"/>
    <w:rsid w:val="004E5ECE"/>
    <w:rsid w:val="004F1143"/>
    <w:rsid w:val="004F7FF0"/>
    <w:rsid w:val="0050304E"/>
    <w:rsid w:val="0050399B"/>
    <w:rsid w:val="005043BF"/>
    <w:rsid w:val="005044C7"/>
    <w:rsid w:val="00513047"/>
    <w:rsid w:val="0051397F"/>
    <w:rsid w:val="005164C0"/>
    <w:rsid w:val="0053196A"/>
    <w:rsid w:val="00534EC9"/>
    <w:rsid w:val="005457B8"/>
    <w:rsid w:val="00546A52"/>
    <w:rsid w:val="00563765"/>
    <w:rsid w:val="00574C1F"/>
    <w:rsid w:val="00575268"/>
    <w:rsid w:val="0057716D"/>
    <w:rsid w:val="0058085C"/>
    <w:rsid w:val="005846FF"/>
    <w:rsid w:val="00584839"/>
    <w:rsid w:val="005A0809"/>
    <w:rsid w:val="005A3680"/>
    <w:rsid w:val="005A74AC"/>
    <w:rsid w:val="005B0B85"/>
    <w:rsid w:val="005B62E0"/>
    <w:rsid w:val="005C0EAF"/>
    <w:rsid w:val="005C2104"/>
    <w:rsid w:val="005C68EE"/>
    <w:rsid w:val="005C7C92"/>
    <w:rsid w:val="005E1DCC"/>
    <w:rsid w:val="005E6459"/>
    <w:rsid w:val="005F4994"/>
    <w:rsid w:val="00605B88"/>
    <w:rsid w:val="0062298A"/>
    <w:rsid w:val="006235AB"/>
    <w:rsid w:val="00634265"/>
    <w:rsid w:val="00652522"/>
    <w:rsid w:val="00653854"/>
    <w:rsid w:val="00660927"/>
    <w:rsid w:val="006614B4"/>
    <w:rsid w:val="0067037A"/>
    <w:rsid w:val="00671D6C"/>
    <w:rsid w:val="00684F0E"/>
    <w:rsid w:val="006A2DA2"/>
    <w:rsid w:val="006A4010"/>
    <w:rsid w:val="006A42AD"/>
    <w:rsid w:val="006B512F"/>
    <w:rsid w:val="006C02CE"/>
    <w:rsid w:val="006E1976"/>
    <w:rsid w:val="006F38F6"/>
    <w:rsid w:val="006F43B3"/>
    <w:rsid w:val="006F542D"/>
    <w:rsid w:val="006F5C65"/>
    <w:rsid w:val="006F7EA2"/>
    <w:rsid w:val="00707061"/>
    <w:rsid w:val="0072311E"/>
    <w:rsid w:val="00726D26"/>
    <w:rsid w:val="00730ECB"/>
    <w:rsid w:val="00734063"/>
    <w:rsid w:val="00740E12"/>
    <w:rsid w:val="00743AA5"/>
    <w:rsid w:val="0074484E"/>
    <w:rsid w:val="0075012D"/>
    <w:rsid w:val="00750E5E"/>
    <w:rsid w:val="00762367"/>
    <w:rsid w:val="00765C05"/>
    <w:rsid w:val="007716F9"/>
    <w:rsid w:val="00775BB5"/>
    <w:rsid w:val="00780144"/>
    <w:rsid w:val="0078329B"/>
    <w:rsid w:val="00787E8C"/>
    <w:rsid w:val="007A1EDE"/>
    <w:rsid w:val="007A32A4"/>
    <w:rsid w:val="007B4503"/>
    <w:rsid w:val="007C0439"/>
    <w:rsid w:val="007C641D"/>
    <w:rsid w:val="007C7635"/>
    <w:rsid w:val="007E0A45"/>
    <w:rsid w:val="007F171E"/>
    <w:rsid w:val="007F23A4"/>
    <w:rsid w:val="007F26EA"/>
    <w:rsid w:val="00800FED"/>
    <w:rsid w:val="00802655"/>
    <w:rsid w:val="0081089A"/>
    <w:rsid w:val="00824F8F"/>
    <w:rsid w:val="00826C1C"/>
    <w:rsid w:val="008273D2"/>
    <w:rsid w:val="00835627"/>
    <w:rsid w:val="008472C5"/>
    <w:rsid w:val="00850234"/>
    <w:rsid w:val="00852E4D"/>
    <w:rsid w:val="008626D0"/>
    <w:rsid w:val="00864778"/>
    <w:rsid w:val="0087046C"/>
    <w:rsid w:val="00875A78"/>
    <w:rsid w:val="008809B6"/>
    <w:rsid w:val="00882FF5"/>
    <w:rsid w:val="00892ABC"/>
    <w:rsid w:val="00896470"/>
    <w:rsid w:val="008B416D"/>
    <w:rsid w:val="008B6305"/>
    <w:rsid w:val="008C1062"/>
    <w:rsid w:val="008C4D5D"/>
    <w:rsid w:val="008C6E9D"/>
    <w:rsid w:val="008D161C"/>
    <w:rsid w:val="008D3E9B"/>
    <w:rsid w:val="008D4B91"/>
    <w:rsid w:val="008E7D92"/>
    <w:rsid w:val="009103DB"/>
    <w:rsid w:val="00911B26"/>
    <w:rsid w:val="00931EA9"/>
    <w:rsid w:val="00937832"/>
    <w:rsid w:val="009409B6"/>
    <w:rsid w:val="009416CC"/>
    <w:rsid w:val="00943660"/>
    <w:rsid w:val="00945CAC"/>
    <w:rsid w:val="00947EBC"/>
    <w:rsid w:val="00951AEA"/>
    <w:rsid w:val="00954854"/>
    <w:rsid w:val="00964580"/>
    <w:rsid w:val="009665EF"/>
    <w:rsid w:val="009A17AA"/>
    <w:rsid w:val="009A36F0"/>
    <w:rsid w:val="009B4444"/>
    <w:rsid w:val="009C4038"/>
    <w:rsid w:val="009C6F90"/>
    <w:rsid w:val="009D1C1F"/>
    <w:rsid w:val="009D5567"/>
    <w:rsid w:val="009E1DB8"/>
    <w:rsid w:val="009E63CF"/>
    <w:rsid w:val="009F79B8"/>
    <w:rsid w:val="00A0126D"/>
    <w:rsid w:val="00A01739"/>
    <w:rsid w:val="00A05477"/>
    <w:rsid w:val="00A21D1E"/>
    <w:rsid w:val="00A33F5E"/>
    <w:rsid w:val="00A46AE9"/>
    <w:rsid w:val="00A507C7"/>
    <w:rsid w:val="00A52133"/>
    <w:rsid w:val="00A614B7"/>
    <w:rsid w:val="00A70CED"/>
    <w:rsid w:val="00A74438"/>
    <w:rsid w:val="00A74896"/>
    <w:rsid w:val="00A764F1"/>
    <w:rsid w:val="00A769C7"/>
    <w:rsid w:val="00A81506"/>
    <w:rsid w:val="00A83E81"/>
    <w:rsid w:val="00A85725"/>
    <w:rsid w:val="00AA268E"/>
    <w:rsid w:val="00AB2254"/>
    <w:rsid w:val="00AB40C6"/>
    <w:rsid w:val="00AB46BC"/>
    <w:rsid w:val="00AB4B19"/>
    <w:rsid w:val="00AB67EF"/>
    <w:rsid w:val="00AC7109"/>
    <w:rsid w:val="00AC7FF2"/>
    <w:rsid w:val="00AD2EDD"/>
    <w:rsid w:val="00AD3FE8"/>
    <w:rsid w:val="00AD6ECE"/>
    <w:rsid w:val="00AF689D"/>
    <w:rsid w:val="00AF7309"/>
    <w:rsid w:val="00AF7688"/>
    <w:rsid w:val="00B06C96"/>
    <w:rsid w:val="00B10A1F"/>
    <w:rsid w:val="00B232B5"/>
    <w:rsid w:val="00B25042"/>
    <w:rsid w:val="00B36891"/>
    <w:rsid w:val="00B375F3"/>
    <w:rsid w:val="00B4416F"/>
    <w:rsid w:val="00B516A5"/>
    <w:rsid w:val="00B560F5"/>
    <w:rsid w:val="00B6119E"/>
    <w:rsid w:val="00B6231F"/>
    <w:rsid w:val="00B70E5B"/>
    <w:rsid w:val="00B71323"/>
    <w:rsid w:val="00B76703"/>
    <w:rsid w:val="00B80BE6"/>
    <w:rsid w:val="00B84543"/>
    <w:rsid w:val="00B97946"/>
    <w:rsid w:val="00BA01EF"/>
    <w:rsid w:val="00BA47BA"/>
    <w:rsid w:val="00BB2A17"/>
    <w:rsid w:val="00BC655B"/>
    <w:rsid w:val="00BD2E4B"/>
    <w:rsid w:val="00BD3651"/>
    <w:rsid w:val="00BD3678"/>
    <w:rsid w:val="00BD7A9C"/>
    <w:rsid w:val="00BE70E8"/>
    <w:rsid w:val="00BF13A4"/>
    <w:rsid w:val="00BF35B2"/>
    <w:rsid w:val="00C04A75"/>
    <w:rsid w:val="00C0780D"/>
    <w:rsid w:val="00C20D6F"/>
    <w:rsid w:val="00C216AC"/>
    <w:rsid w:val="00C30B23"/>
    <w:rsid w:val="00C47AA1"/>
    <w:rsid w:val="00C47C97"/>
    <w:rsid w:val="00C53AFA"/>
    <w:rsid w:val="00C55CB8"/>
    <w:rsid w:val="00C56A09"/>
    <w:rsid w:val="00C57D60"/>
    <w:rsid w:val="00C656A6"/>
    <w:rsid w:val="00C65DD8"/>
    <w:rsid w:val="00C74E79"/>
    <w:rsid w:val="00C75807"/>
    <w:rsid w:val="00C90E21"/>
    <w:rsid w:val="00CA14A3"/>
    <w:rsid w:val="00CB2E01"/>
    <w:rsid w:val="00CB73F0"/>
    <w:rsid w:val="00CB7D62"/>
    <w:rsid w:val="00CC1AE9"/>
    <w:rsid w:val="00CC1E46"/>
    <w:rsid w:val="00CD3853"/>
    <w:rsid w:val="00CE3407"/>
    <w:rsid w:val="00CE6C61"/>
    <w:rsid w:val="00CF0307"/>
    <w:rsid w:val="00CF2238"/>
    <w:rsid w:val="00CF50A1"/>
    <w:rsid w:val="00D02981"/>
    <w:rsid w:val="00D06B57"/>
    <w:rsid w:val="00D14991"/>
    <w:rsid w:val="00D15D44"/>
    <w:rsid w:val="00D16C4C"/>
    <w:rsid w:val="00D211FE"/>
    <w:rsid w:val="00D21D77"/>
    <w:rsid w:val="00D31E4B"/>
    <w:rsid w:val="00D36CF5"/>
    <w:rsid w:val="00D4095E"/>
    <w:rsid w:val="00D40F06"/>
    <w:rsid w:val="00D47EFC"/>
    <w:rsid w:val="00D5746D"/>
    <w:rsid w:val="00D75A41"/>
    <w:rsid w:val="00D80041"/>
    <w:rsid w:val="00D823BD"/>
    <w:rsid w:val="00D84FBD"/>
    <w:rsid w:val="00D87114"/>
    <w:rsid w:val="00DA2959"/>
    <w:rsid w:val="00DB005A"/>
    <w:rsid w:val="00DB124D"/>
    <w:rsid w:val="00DC006B"/>
    <w:rsid w:val="00DC14D5"/>
    <w:rsid w:val="00DD227A"/>
    <w:rsid w:val="00DE7029"/>
    <w:rsid w:val="00E025AB"/>
    <w:rsid w:val="00E044E0"/>
    <w:rsid w:val="00E04639"/>
    <w:rsid w:val="00E06229"/>
    <w:rsid w:val="00E11055"/>
    <w:rsid w:val="00E2616C"/>
    <w:rsid w:val="00E32085"/>
    <w:rsid w:val="00E4202D"/>
    <w:rsid w:val="00E45D8C"/>
    <w:rsid w:val="00E47198"/>
    <w:rsid w:val="00E54D88"/>
    <w:rsid w:val="00E57587"/>
    <w:rsid w:val="00E70FF0"/>
    <w:rsid w:val="00E740F4"/>
    <w:rsid w:val="00E86EDB"/>
    <w:rsid w:val="00E87AB7"/>
    <w:rsid w:val="00E9063C"/>
    <w:rsid w:val="00E94861"/>
    <w:rsid w:val="00E949D1"/>
    <w:rsid w:val="00E96D38"/>
    <w:rsid w:val="00EA54AB"/>
    <w:rsid w:val="00EA5D5B"/>
    <w:rsid w:val="00EA6ADF"/>
    <w:rsid w:val="00EB57F8"/>
    <w:rsid w:val="00ED0309"/>
    <w:rsid w:val="00EE20A3"/>
    <w:rsid w:val="00EE2438"/>
    <w:rsid w:val="00EE58DB"/>
    <w:rsid w:val="00EF103B"/>
    <w:rsid w:val="00EF40E7"/>
    <w:rsid w:val="00F01B9C"/>
    <w:rsid w:val="00F104E8"/>
    <w:rsid w:val="00F13444"/>
    <w:rsid w:val="00F15A7B"/>
    <w:rsid w:val="00F17526"/>
    <w:rsid w:val="00F3797F"/>
    <w:rsid w:val="00F41805"/>
    <w:rsid w:val="00F42B65"/>
    <w:rsid w:val="00F43681"/>
    <w:rsid w:val="00F6189F"/>
    <w:rsid w:val="00F70834"/>
    <w:rsid w:val="00F7134B"/>
    <w:rsid w:val="00F82E54"/>
    <w:rsid w:val="00F874F6"/>
    <w:rsid w:val="00F910C5"/>
    <w:rsid w:val="00F968B4"/>
    <w:rsid w:val="00F97D9F"/>
    <w:rsid w:val="00FA07FC"/>
    <w:rsid w:val="00FA5829"/>
    <w:rsid w:val="00FC1F5E"/>
    <w:rsid w:val="00FC73F5"/>
    <w:rsid w:val="00FD286C"/>
    <w:rsid w:val="00FD7BFC"/>
    <w:rsid w:val="00FE019D"/>
    <w:rsid w:val="00FE2118"/>
    <w:rsid w:val="00FE277F"/>
    <w:rsid w:val="00FE78AA"/>
    <w:rsid w:val="00FF77A8"/>
    <w:rsid w:val="00FF77C6"/>
    <w:rsid w:val="37F7535B"/>
    <w:rsid w:val="44EE129A"/>
    <w:rsid w:val="47EE1D46"/>
    <w:rsid w:val="49CC5D95"/>
    <w:rsid w:val="7230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eastAsia="宋体" w:cs="Times New Roman" w:asciiTheme="minorHAnsi" w:hAnsiTheme="minorHAnsi"/>
      <w:sz w:val="18"/>
      <w:lang w:val="en-US" w:eastAsia="zh-CN" w:bidi="ar-SA"/>
    </w:rPr>
  </w:style>
  <w:style w:type="paragraph" w:styleId="2">
    <w:name w:val="heading 1"/>
    <w:next w:val="3"/>
    <w:link w:val="36"/>
    <w:qFormat/>
    <w:uiPriority w:val="0"/>
    <w:pPr>
      <w:keepNext/>
      <w:numPr>
        <w:ilvl w:val="0"/>
        <w:numId w:val="1"/>
      </w:numPr>
      <w:spacing w:before="240" w:after="240"/>
      <w:jc w:val="both"/>
      <w:outlineLvl w:val="0"/>
    </w:pPr>
    <w:rPr>
      <w:rFonts w:ascii="Arial" w:hAnsi="Arial" w:eastAsia="黑体" w:cs="Times New Roman"/>
      <w:b/>
      <w:sz w:val="32"/>
      <w:szCs w:val="32"/>
      <w:lang w:val="en-US" w:eastAsia="zh-CN" w:bidi="ar-SA"/>
    </w:rPr>
  </w:style>
  <w:style w:type="paragraph" w:styleId="3">
    <w:name w:val="heading 2"/>
    <w:next w:val="1"/>
    <w:link w:val="37"/>
    <w:qFormat/>
    <w:uiPriority w:val="0"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hAnsi="Arial" w:eastAsia="黑体" w:cs="Times New Roman"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link w:val="38"/>
    <w:qFormat/>
    <w:uiPriority w:val="0"/>
    <w:pPr>
      <w:keepNext/>
      <w:keepLines/>
      <w:numPr>
        <w:ilvl w:val="2"/>
        <w:numId w:val="1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link w:val="43"/>
    <w:qFormat/>
    <w:uiPriority w:val="0"/>
    <w:pPr>
      <w:ind w:firstLine="420"/>
    </w:pPr>
  </w:style>
  <w:style w:type="paragraph" w:styleId="7">
    <w:name w:val="annotation text"/>
    <w:basedOn w:val="1"/>
    <w:link w:val="39"/>
    <w:qFormat/>
    <w:uiPriority w:val="0"/>
  </w:style>
  <w:style w:type="paragraph" w:styleId="8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9">
    <w:name w:val="Balloon Text"/>
    <w:basedOn w:val="1"/>
    <w:link w:val="34"/>
    <w:qFormat/>
    <w:uiPriority w:val="0"/>
    <w:rPr>
      <w:szCs w:val="18"/>
    </w:rPr>
  </w:style>
  <w:style w:type="paragraph" w:styleId="10">
    <w:name w:val="footer"/>
    <w:link w:val="40"/>
    <w:qFormat/>
    <w:uiPriority w:val="0"/>
    <w:pPr>
      <w:tabs>
        <w:tab w:val="center" w:pos="4510"/>
        <w:tab w:val="right" w:pos="9020"/>
      </w:tabs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styleId="11">
    <w:name w:val="header"/>
    <w:link w:val="41"/>
    <w:qFormat/>
    <w:uiPriority w:val="99"/>
    <w:pPr>
      <w:tabs>
        <w:tab w:val="center" w:pos="4153"/>
        <w:tab w:val="right" w:pos="8306"/>
      </w:tabs>
      <w:snapToGrid w:val="0"/>
      <w:jc w:val="both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styleId="12">
    <w:name w:val="toc 1"/>
    <w:basedOn w:val="1"/>
    <w:next w:val="1"/>
    <w:qFormat/>
    <w:uiPriority w:val="39"/>
    <w:pPr>
      <w:widowControl/>
      <w:tabs>
        <w:tab w:val="left" w:pos="567"/>
        <w:tab w:val="right" w:leader="dot" w:pos="8280"/>
      </w:tabs>
      <w:ind w:left="198" w:hanging="113"/>
    </w:pPr>
    <w:rPr>
      <w:sz w:val="21"/>
    </w:rPr>
  </w:style>
  <w:style w:type="paragraph" w:styleId="13">
    <w:name w:val="toc 2"/>
    <w:basedOn w:val="1"/>
    <w:next w:val="1"/>
    <w:qFormat/>
    <w:uiPriority w:val="39"/>
    <w:pPr>
      <w:ind w:left="453" w:hanging="283"/>
    </w:pPr>
    <w:rPr>
      <w:sz w:val="21"/>
    </w:rPr>
  </w:style>
  <w:style w:type="paragraph" w:styleId="14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basedOn w:val="15"/>
    <w:qFormat/>
    <w:uiPriority w:val="0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unhideWhenUsed/>
    <w:qFormat/>
    <w:uiPriority w:val="99"/>
    <w:rPr>
      <w:color w:val="0000FF"/>
      <w:u w:val="single"/>
    </w:rPr>
  </w:style>
  <w:style w:type="paragraph" w:customStyle="1" w:styleId="21">
    <w:name w:val="表格题注"/>
    <w:next w:val="1"/>
    <w:qFormat/>
    <w:uiPriority w:val="0"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22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23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szCs w:val="21"/>
      <w:lang w:val="en-US" w:eastAsia="zh-CN" w:bidi="ar-SA"/>
    </w:rPr>
  </w:style>
  <w:style w:type="table" w:customStyle="1" w:styleId="24">
    <w:name w:val="表样式"/>
    <w:basedOn w:val="15"/>
    <w:qFormat/>
    <w:uiPriority w:val="0"/>
    <w:pPr>
      <w:jc w:val="both"/>
    </w:pPr>
    <w:rPr>
      <w:sz w:val="18"/>
      <w:szCs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</w:style>
  <w:style w:type="paragraph" w:customStyle="1" w:styleId="25">
    <w:name w:val="插图题注"/>
    <w:next w:val="1"/>
    <w:qFormat/>
    <w:uiPriority w:val="0"/>
    <w:pPr>
      <w:numPr>
        <w:ilvl w:val="7"/>
        <w:numId w:val="2"/>
      </w:numPr>
      <w:spacing w:after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26">
    <w:name w:val="图样式"/>
    <w:basedOn w:val="1"/>
    <w:qFormat/>
    <w:uiPriority w:val="0"/>
    <w:pPr>
      <w:keepNext/>
      <w:widowControl/>
      <w:spacing w:before="80" w:after="80"/>
      <w:jc w:val="center"/>
    </w:pPr>
  </w:style>
  <w:style w:type="paragraph" w:customStyle="1" w:styleId="27">
    <w:name w:val="文档标题"/>
    <w:basedOn w:val="1"/>
    <w:qFormat/>
    <w:uiPriority w:val="0"/>
    <w:pPr>
      <w:tabs>
        <w:tab w:val="left" w:pos="0"/>
      </w:tabs>
      <w:spacing w:before="300" w:after="300"/>
      <w:jc w:val="center"/>
    </w:pPr>
    <w:rPr>
      <w:rFonts w:ascii="Arial" w:hAnsi="Arial" w:eastAsia="黑体"/>
      <w:sz w:val="36"/>
      <w:szCs w:val="36"/>
    </w:rPr>
  </w:style>
  <w:style w:type="paragraph" w:customStyle="1" w:styleId="28">
    <w:name w:val="正文（首行不缩进）"/>
    <w:basedOn w:val="1"/>
    <w:qFormat/>
    <w:uiPriority w:val="0"/>
  </w:style>
  <w:style w:type="paragraph" w:customStyle="1" w:styleId="29">
    <w:name w:val="注示头"/>
    <w:basedOn w:val="1"/>
    <w:qFormat/>
    <w:uiPriority w:val="0"/>
    <w:pPr>
      <w:pBdr>
        <w:top w:val="single" w:color="000000" w:sz="4" w:space="1"/>
      </w:pBdr>
      <w:jc w:val="both"/>
    </w:pPr>
    <w:rPr>
      <w:rFonts w:ascii="Arial" w:hAnsi="Arial" w:eastAsia="黑体"/>
    </w:rPr>
  </w:style>
  <w:style w:type="paragraph" w:customStyle="1" w:styleId="30">
    <w:name w:val="注示文本"/>
    <w:basedOn w:val="1"/>
    <w:qFormat/>
    <w:uiPriority w:val="0"/>
    <w:pPr>
      <w:pBdr>
        <w:bottom w:val="single" w:color="000000" w:sz="4" w:space="1"/>
      </w:pBdr>
      <w:ind w:firstLine="360"/>
      <w:jc w:val="both"/>
    </w:pPr>
    <w:rPr>
      <w:rFonts w:ascii="Arial" w:hAnsi="Arial" w:eastAsia="楷体_GB2312"/>
      <w:szCs w:val="18"/>
    </w:rPr>
  </w:style>
  <w:style w:type="paragraph" w:customStyle="1" w:styleId="31">
    <w:name w:val="编写建议"/>
    <w:basedOn w:val="1"/>
    <w:qFormat/>
    <w:uiPriority w:val="0"/>
    <w:pPr>
      <w:ind w:firstLine="420"/>
    </w:pPr>
    <w:rPr>
      <w:rFonts w:ascii="Arial" w:hAnsi="Arial" w:cs="Arial"/>
      <w:i/>
      <w:color w:val="0000FF"/>
    </w:rPr>
  </w:style>
  <w:style w:type="character" w:customStyle="1" w:styleId="32">
    <w:name w:val="样式一"/>
    <w:basedOn w:val="17"/>
    <w:qFormat/>
    <w:uiPriority w:val="0"/>
    <w:rPr>
      <w:rFonts w:ascii="宋体" w:hAnsi="宋体"/>
      <w:b/>
      <w:bCs/>
      <w:color w:val="000000"/>
      <w:sz w:val="36"/>
    </w:rPr>
  </w:style>
  <w:style w:type="character" w:customStyle="1" w:styleId="33">
    <w:name w:val="样式二"/>
    <w:basedOn w:val="32"/>
    <w:qFormat/>
    <w:uiPriority w:val="0"/>
    <w:rPr>
      <w:rFonts w:ascii="宋体" w:hAnsi="宋体"/>
      <w:color w:val="000000"/>
      <w:sz w:val="36"/>
    </w:rPr>
  </w:style>
  <w:style w:type="character" w:customStyle="1" w:styleId="34">
    <w:name w:val="批注框文本 字符"/>
    <w:basedOn w:val="17"/>
    <w:link w:val="9"/>
    <w:qFormat/>
    <w:uiPriority w:val="0"/>
    <w:rPr>
      <w:snapToGrid w:val="0"/>
      <w:sz w:val="18"/>
      <w:szCs w:val="18"/>
    </w:rPr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character" w:customStyle="1" w:styleId="36">
    <w:name w:val="标题 1 字符"/>
    <w:basedOn w:val="17"/>
    <w:link w:val="2"/>
    <w:qFormat/>
    <w:uiPriority w:val="0"/>
    <w:rPr>
      <w:rFonts w:ascii="Arial" w:hAnsi="Arial" w:eastAsia="黑体"/>
      <w:b/>
      <w:sz w:val="32"/>
      <w:szCs w:val="32"/>
    </w:rPr>
  </w:style>
  <w:style w:type="character" w:customStyle="1" w:styleId="37">
    <w:name w:val="标题 2 字符"/>
    <w:basedOn w:val="17"/>
    <w:link w:val="3"/>
    <w:qFormat/>
    <w:uiPriority w:val="0"/>
    <w:rPr>
      <w:rFonts w:ascii="Arial" w:hAnsi="Arial" w:eastAsia="黑体"/>
      <w:sz w:val="24"/>
      <w:szCs w:val="24"/>
    </w:rPr>
  </w:style>
  <w:style w:type="character" w:customStyle="1" w:styleId="38">
    <w:name w:val="标题 3 字符"/>
    <w:basedOn w:val="17"/>
    <w:link w:val="4"/>
    <w:qFormat/>
    <w:uiPriority w:val="0"/>
    <w:rPr>
      <w:rFonts w:eastAsia="黑体"/>
      <w:bCs/>
      <w:snapToGrid w:val="0"/>
      <w:kern w:val="2"/>
      <w:sz w:val="24"/>
      <w:szCs w:val="32"/>
    </w:rPr>
  </w:style>
  <w:style w:type="character" w:customStyle="1" w:styleId="39">
    <w:name w:val="批注文字 字符"/>
    <w:basedOn w:val="17"/>
    <w:link w:val="7"/>
    <w:qFormat/>
    <w:uiPriority w:val="0"/>
    <w:rPr>
      <w:rFonts w:asciiTheme="minorHAnsi" w:hAnsiTheme="minorHAnsi"/>
      <w:sz w:val="18"/>
    </w:rPr>
  </w:style>
  <w:style w:type="character" w:customStyle="1" w:styleId="40">
    <w:name w:val="页脚 字符"/>
    <w:basedOn w:val="17"/>
    <w:link w:val="10"/>
    <w:qFormat/>
    <w:uiPriority w:val="0"/>
    <w:rPr>
      <w:rFonts w:ascii="Arial" w:hAnsi="Arial"/>
      <w:sz w:val="18"/>
      <w:szCs w:val="18"/>
    </w:rPr>
  </w:style>
  <w:style w:type="character" w:customStyle="1" w:styleId="41">
    <w:name w:val="页眉 字符"/>
    <w:basedOn w:val="17"/>
    <w:link w:val="11"/>
    <w:qFormat/>
    <w:uiPriority w:val="99"/>
    <w:rPr>
      <w:rFonts w:ascii="Arial" w:hAnsi="Arial"/>
      <w:sz w:val="18"/>
      <w:szCs w:val="18"/>
    </w:rPr>
  </w:style>
  <w:style w:type="paragraph" w:customStyle="1" w:styleId="42">
    <w:name w:val="目录"/>
    <w:basedOn w:val="1"/>
    <w:qFormat/>
    <w:uiPriority w:val="0"/>
    <w:pPr>
      <w:spacing w:before="300" w:after="150" w:line="360" w:lineRule="auto"/>
      <w:jc w:val="center"/>
    </w:pPr>
    <w:rPr>
      <w:rFonts w:ascii="黑体" w:eastAsia="黑体"/>
      <w:sz w:val="30"/>
    </w:rPr>
  </w:style>
  <w:style w:type="character" w:customStyle="1" w:styleId="43">
    <w:name w:val="正文缩进 字符"/>
    <w:basedOn w:val="17"/>
    <w:link w:val="6"/>
    <w:qFormat/>
    <w:locked/>
    <w:uiPriority w:val="0"/>
    <w:rPr>
      <w:rFonts w:asciiTheme="minorHAnsi" w:hAnsiTheme="minorHAnsi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83E27-0E22-4FCF-8BAA-2E0CA9EBC8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 Ltd.</Company>
  <Pages>3</Pages>
  <Words>1090</Words>
  <Characters>1110</Characters>
  <Lines>17</Lines>
  <Paragraphs>4</Paragraphs>
  <TotalTime>1</TotalTime>
  <ScaleCrop>false</ScaleCrop>
  <LinksUpToDate>false</LinksUpToDate>
  <CharactersWithSpaces>1308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2025-07-09T03:29:00Z</dcterms:created>
  <dc:creator>liujing (U)</dc:creator>
  <cp:lastModifiedBy>莉娜oo</cp:lastModifiedBy>
  <dcterms:modified xsi:type="dcterms:W3CDTF">2026-02-05T03:16:20Z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1702972032</vt:lpwstr>
  </property>
  <property fmtid="{D5CDD505-2E9C-101B-9397-08002B2CF9AE}" pid="6" name="_2015_ms_pID_725343">
    <vt:lpwstr>(2)sgYtm6wa9tbigfcpXoKU4x4Ln95LqIJgFdIVPA6dZqmaAGEtQsEcLZxDh/hNDNO/A0XoIiAy
5Mec6tVw0Y/QczPYrMKeeTomlyYMgL+edXNAgZ+Ks+ps8Z+6pk/ZvkFh+v9re8BtvfSoZO/I
TDO4y/Dp83ZHjhqKgr7YCn0I7igx7Tkn/0m04BDGN0D9MO5lIc/OBihAr/59qvrG9PW6Yj/p
MNEtFNBRXJyo5bdQ0z</vt:lpwstr>
  </property>
  <property fmtid="{D5CDD505-2E9C-101B-9397-08002B2CF9AE}" pid="7" name="_2015_ms_pID_7253431">
    <vt:lpwstr>Y4IhWHGNGfWTWbsvWbORWU4TNCgaYof6xiqyb+DPjxBoLgr30h407i
dff0eZxWO7ABQfHiXH+KGO+7IiBW0CZQ4NzMHEafziQzxBE1BAuMnqORNuqcxDLzf/AFDEhz
eSo5NT2zTH3F5iZgM9BL2bZy8Sfy/PsXbF4FhBhBwsaxF09XbNmyXoWebo3S3oH9dKUMVzOE
LLbGkIGzR4hEfV/j</vt:lpwstr>
  </property>
  <property fmtid="{D5CDD505-2E9C-101B-9397-08002B2CF9AE}" pid="8" name="KSOTemplateDocerSaveRecord">
    <vt:lpwstr>eyJoZGlkIjoiMjE3NWFiZjdiNmI3ZGYxNTAyMjZhMzc4OTdjOTYzMTQiLCJ1c2VySWQiOiIyMTU4Mzk2ODMifQ==</vt:lpwstr>
  </property>
  <property fmtid="{D5CDD505-2E9C-101B-9397-08002B2CF9AE}" pid="9" name="KSOProductBuildVer">
    <vt:lpwstr>2052-12.1.0.24657</vt:lpwstr>
  </property>
  <property fmtid="{D5CDD505-2E9C-101B-9397-08002B2CF9AE}" pid="10" name="ICV">
    <vt:lpwstr>4FB447977F1D44A1B1E19FA4143851E7_12</vt:lpwstr>
  </property>
</Properties>
</file>