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9E1A9">
      <w:pPr>
        <w:pStyle w:val="2"/>
        <w:bidi w:val="0"/>
        <w:rPr>
          <w:rFonts w:hint="default"/>
          <w:lang w:val="en-US" w:eastAsia="zh-CN"/>
        </w:rPr>
      </w:pPr>
      <w:r>
        <w:rPr>
          <w:rFonts w:hint="eastAsia"/>
          <w:lang w:val="en-US" w:eastAsia="zh-CN"/>
        </w:rPr>
        <w:t>代理机构</w:t>
      </w:r>
    </w:p>
    <w:p w14:paraId="747A8F3F">
      <w:pPr>
        <w:pStyle w:val="3"/>
        <w:numPr>
          <w:numId w:val="0"/>
        </w:numPr>
        <w:bidi w:val="0"/>
        <w:ind w:left="0" w:leftChars="0" w:firstLine="0" w:firstLineChars="0"/>
        <w:rPr>
          <w:rFonts w:hint="default"/>
          <w:rtl w:val="0"/>
          <w:lang w:val="en-US" w:eastAsia="zh-CN"/>
        </w:rPr>
      </w:pPr>
      <w:bookmarkStart w:id="0" w:name="_Toc740"/>
      <w:bookmarkStart w:id="1" w:name="_Toc10372"/>
      <w:bookmarkStart w:id="2" w:name="_Toc2209"/>
      <w:bookmarkStart w:id="3" w:name="_Toc13537"/>
      <w:bookmarkStart w:id="4" w:name="_Toc32540"/>
      <w:bookmarkStart w:id="5" w:name="_Toc29336"/>
      <w:bookmarkStart w:id="6" w:name="_Toc25850"/>
      <w:bookmarkStart w:id="7" w:name="_Toc32622"/>
      <w:bookmarkStart w:id="8" w:name="_Toc28634"/>
      <w:r>
        <w:rPr>
          <w:rFonts w:hint="default" w:ascii="宋体" w:hAnsi="宋体" w:eastAsia="宋体" w:cs="宋体"/>
          <w:b/>
          <w:bCs/>
          <w:kern w:val="2"/>
          <w:sz w:val="30"/>
          <w:szCs w:val="30"/>
          <w:rtl w:val="0"/>
          <w:lang w:val="en-US" w:eastAsia="zh-CN" w:bidi="ar-SA"/>
        </w:rPr>
        <w:t>1.1</w:t>
      </w:r>
      <w:r>
        <w:rPr>
          <w:rFonts w:hint="default"/>
          <w:rtl w:val="0"/>
          <w:lang w:val="en-US" w:eastAsia="zh-CN"/>
        </w:rPr>
        <w:t>登录</w:t>
      </w:r>
      <w:bookmarkEnd w:id="0"/>
      <w:bookmarkEnd w:id="1"/>
      <w:bookmarkEnd w:id="2"/>
      <w:bookmarkEnd w:id="3"/>
      <w:bookmarkEnd w:id="4"/>
      <w:bookmarkEnd w:id="5"/>
      <w:bookmarkEnd w:id="6"/>
      <w:bookmarkEnd w:id="7"/>
      <w:bookmarkEnd w:id="8"/>
    </w:p>
    <w:p w14:paraId="6F26FDCF">
      <w:pPr>
        <w:rPr>
          <w:rFonts w:hint="default" w:eastAsiaTheme="minorEastAsia"/>
          <w:rtl w:val="0"/>
          <w:lang w:val="en-US" w:eastAsia="zh-CN"/>
        </w:rPr>
      </w:pPr>
      <w:r>
        <w:rPr>
          <w:rFonts w:hint="default" w:eastAsiaTheme="minorEastAsia"/>
          <w:rtl w:val="0"/>
          <w:lang w:val="en-US" w:eastAsia="zh-CN"/>
        </w:rPr>
        <w:t>注册说明:代理机构要使用阳光采购平台，需要向计划合约部申请账号（注:账号申请不通过阳光采购平台申请）。申请通过后，账号和密码会发送到你申请时所填写的手机号上面。（注:申请材料和内容由计划合约部提供）。</w:t>
      </w:r>
    </w:p>
    <w:p w14:paraId="24523EFC">
      <w:pPr>
        <w:rPr>
          <w:rFonts w:hint="default" w:eastAsiaTheme="minorEastAsia"/>
          <w:rtl w:val="0"/>
          <w:lang w:val="en-US" w:eastAsia="zh-CN"/>
        </w:rPr>
      </w:pPr>
      <w:r>
        <w:rPr>
          <w:rFonts w:hint="default" w:eastAsiaTheme="minorEastAsia"/>
          <w:rtl w:val="0"/>
          <w:lang w:val="en-US" w:eastAsia="zh-CN"/>
        </w:rPr>
        <w:t>手机收到账号和密码的短信之后，在登录框右上方点击代理机构，在输入框内填写账号密码，并输入图形验证码，登录进去之后，完善企业基本信息。</w:t>
      </w:r>
    </w:p>
    <w:p w14:paraId="47D89756">
      <w:pPr>
        <w:rPr>
          <w:rFonts w:hint="default" w:eastAsiaTheme="minorEastAsia"/>
          <w:rtl w:val="0"/>
          <w:lang w:val="en-US" w:eastAsia="zh-CN"/>
        </w:rPr>
      </w:pPr>
    </w:p>
    <w:p w14:paraId="7F1E4466">
      <w:pPr>
        <w:rPr>
          <w:rFonts w:hint="default" w:eastAsiaTheme="minorEastAsia"/>
          <w:lang w:val="en-US" w:eastAsia="zh-CN"/>
        </w:rPr>
      </w:pPr>
      <w:r>
        <w:rPr>
          <w:rFonts w:hint="default" w:eastAsiaTheme="minorEastAsia"/>
          <w:lang w:val="en-US" w:eastAsia="zh-CN"/>
        </w:rPr>
        <w:drawing>
          <wp:inline distT="0" distB="0" distL="114300" distR="114300">
            <wp:extent cx="5260975" cy="2867660"/>
            <wp:effectExtent l="0" t="0" r="158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0975" cy="2867660"/>
                    </a:xfrm>
                    <a:prstGeom prst="rect">
                      <a:avLst/>
                    </a:prstGeom>
                    <a:noFill/>
                    <a:ln>
                      <a:noFill/>
                    </a:ln>
                  </pic:spPr>
                </pic:pic>
              </a:graphicData>
            </a:graphic>
          </wp:inline>
        </w:drawing>
      </w:r>
    </w:p>
    <w:p w14:paraId="5A62FCEC">
      <w:pPr>
        <w:rPr>
          <w:rFonts w:hint="default" w:eastAsiaTheme="minorEastAsia"/>
          <w:lang w:val="en-US" w:eastAsia="zh-CN"/>
        </w:rPr>
      </w:pPr>
    </w:p>
    <w:p w14:paraId="683583EF">
      <w:pPr>
        <w:pStyle w:val="3"/>
        <w:numPr>
          <w:numId w:val="0"/>
        </w:numPr>
        <w:bidi w:val="0"/>
        <w:ind w:left="0" w:leftChars="0" w:firstLine="0" w:firstLineChars="0"/>
        <w:rPr>
          <w:rFonts w:hint="default"/>
          <w:lang w:val="en-US" w:eastAsia="zh-CN"/>
        </w:rPr>
      </w:pPr>
      <w:r>
        <w:rPr>
          <w:rFonts w:hint="default" w:ascii="宋体" w:hAnsi="宋体" w:eastAsia="宋体" w:cs="宋体"/>
          <w:b/>
          <w:bCs/>
          <w:kern w:val="2"/>
          <w:sz w:val="30"/>
          <w:szCs w:val="30"/>
          <w:lang w:val="en-US" w:eastAsia="zh-CN" w:bidi="ar-SA"/>
        </w:rPr>
        <w:t>1.2</w:t>
      </w:r>
      <w:r>
        <w:rPr>
          <w:rFonts w:hint="default"/>
          <w:rtl w:val="0"/>
          <w:lang w:val="en-US" w:eastAsia="zh-CN"/>
        </w:rPr>
        <w:t>数据统计</w:t>
      </w:r>
      <w:r>
        <w:rPr>
          <w:rFonts w:hint="default"/>
          <w:lang w:val="en-US" w:eastAsia="zh-CN"/>
        </w:rPr>
        <w:t xml:space="preserve"> </w:t>
      </w:r>
    </w:p>
    <w:p w14:paraId="750A93A9">
      <w:pPr>
        <w:rPr>
          <w:rFonts w:hint="default" w:eastAsiaTheme="minorEastAsia"/>
          <w:rtl w:val="0"/>
          <w:lang w:val="en-US" w:eastAsia="zh-CN"/>
        </w:rPr>
      </w:pPr>
      <w:r>
        <w:rPr>
          <w:rFonts w:hint="default" w:eastAsiaTheme="minorEastAsia"/>
          <w:rtl w:val="0"/>
          <w:lang w:val="en-US" w:eastAsia="zh-CN"/>
        </w:rPr>
        <w:t>首页上会显示各种状态的项目和计划的数量。</w:t>
      </w:r>
    </w:p>
    <w:p w14:paraId="4A2F7EE8">
      <w:pPr>
        <w:pStyle w:val="3"/>
        <w:numPr>
          <w:numId w:val="0"/>
        </w:numPr>
        <w:bidi w:val="0"/>
        <w:ind w:left="0" w:leftChars="0" w:firstLine="0" w:firstLineChars="0"/>
        <w:rPr>
          <w:rFonts w:hint="default"/>
          <w:lang w:val="en-US" w:eastAsia="zh-CN"/>
        </w:rPr>
      </w:pPr>
      <w:r>
        <w:rPr>
          <w:rFonts w:hint="default" w:ascii="宋体" w:hAnsi="宋体" w:eastAsia="宋体" w:cs="宋体"/>
          <w:b/>
          <w:bCs/>
          <w:kern w:val="2"/>
          <w:sz w:val="30"/>
          <w:szCs w:val="30"/>
          <w:lang w:val="en-US" w:eastAsia="zh-CN" w:bidi="ar-SA"/>
        </w:rPr>
        <w:t>1.3</w:t>
      </w:r>
      <w:r>
        <w:rPr>
          <w:rFonts w:hint="default"/>
          <w:rtl w:val="0"/>
          <w:lang w:val="en-US" w:eastAsia="zh-CN"/>
        </w:rPr>
        <w:t>项目进展</w:t>
      </w:r>
    </w:p>
    <w:p w14:paraId="25253031">
      <w:pPr>
        <w:rPr>
          <w:rFonts w:hint="default" w:eastAsiaTheme="minorEastAsia"/>
          <w:rtl w:val="0"/>
          <w:lang w:val="en-US" w:eastAsia="zh-CN"/>
        </w:rPr>
      </w:pPr>
      <w:r>
        <w:rPr>
          <w:rFonts w:hint="default" w:eastAsiaTheme="minorEastAsia"/>
          <w:rtl w:val="0"/>
          <w:lang w:val="en-US" w:eastAsia="zh-CN"/>
        </w:rPr>
        <w:t>默认展示当前年份的计划和项目，并根据进度进行分类展示。支持通过年份和项目名称关键词对页面上的数据进行筛选。</w:t>
      </w:r>
    </w:p>
    <w:p w14:paraId="3C03A8A3">
      <w:pPr>
        <w:pStyle w:val="3"/>
        <w:numPr>
          <w:numId w:val="0"/>
        </w:numPr>
        <w:bidi w:val="0"/>
        <w:ind w:left="0" w:leftChars="0" w:firstLine="0" w:firstLineChars="0"/>
        <w:rPr>
          <w:rFonts w:hint="default"/>
          <w:lang w:val="en-US" w:eastAsia="zh-CN"/>
        </w:rPr>
      </w:pPr>
      <w:r>
        <w:rPr>
          <w:rFonts w:hint="default" w:ascii="宋体" w:hAnsi="宋体" w:eastAsia="宋体" w:cs="宋体"/>
          <w:b/>
          <w:bCs/>
          <w:kern w:val="2"/>
          <w:sz w:val="30"/>
          <w:szCs w:val="30"/>
          <w:lang w:val="en-US" w:eastAsia="zh-CN" w:bidi="ar-SA"/>
        </w:rPr>
        <w:t>1.4</w:t>
      </w:r>
      <w:r>
        <w:rPr>
          <w:rFonts w:hint="default"/>
          <w:rtl w:val="0"/>
          <w:lang w:val="en-US" w:eastAsia="zh-CN"/>
        </w:rPr>
        <w:t>编制招标方案</w:t>
      </w:r>
    </w:p>
    <w:p w14:paraId="5F0BE218">
      <w:pPr>
        <w:rPr>
          <w:rFonts w:hint="default"/>
          <w:rtl w:val="0"/>
          <w:lang w:val="en-US" w:eastAsia="zh-CN"/>
        </w:rPr>
      </w:pPr>
      <w:r>
        <w:rPr>
          <w:rFonts w:hint="default"/>
          <w:rtl w:val="0"/>
          <w:lang w:val="en-US" w:eastAsia="zh-CN"/>
        </w:rPr>
        <w:t>当被分配的计划需要编制招标方案，或者编制完招标方案，但还未通过招办会时，该计划会在该页面进行展示。编制完招标方案，可以点击操作区的查看按钮，查看计划并在附件中上传招标方案。</w:t>
      </w:r>
    </w:p>
    <w:p w14:paraId="03E9336B">
      <w:pPr>
        <w:rPr>
          <w:rFonts w:hint="default"/>
          <w:lang w:val="en-US" w:eastAsia="zh-CN"/>
        </w:rPr>
      </w:pPr>
      <w:r>
        <w:rPr>
          <w:rFonts w:hint="default"/>
          <w:lang w:val="en-US" w:eastAsia="zh-CN"/>
        </w:rPr>
        <w:drawing>
          <wp:inline distT="0" distB="0" distL="114300" distR="114300">
            <wp:extent cx="5273040" cy="2033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3040" cy="2033905"/>
                    </a:xfrm>
                    <a:prstGeom prst="rect">
                      <a:avLst/>
                    </a:prstGeom>
                    <a:noFill/>
                    <a:ln>
                      <a:noFill/>
                    </a:ln>
                  </pic:spPr>
                </pic:pic>
              </a:graphicData>
            </a:graphic>
          </wp:inline>
        </w:drawing>
      </w:r>
    </w:p>
    <w:p w14:paraId="43D92DF6">
      <w:pPr>
        <w:pStyle w:val="3"/>
        <w:numPr>
          <w:numId w:val="0"/>
        </w:numPr>
        <w:bidi w:val="0"/>
        <w:ind w:left="0" w:leftChars="0" w:firstLine="0" w:firstLineChars="0"/>
        <w:rPr>
          <w:rFonts w:hint="default"/>
          <w:lang w:val="en-US" w:eastAsia="zh-CN"/>
        </w:rPr>
      </w:pPr>
      <w:r>
        <w:rPr>
          <w:rFonts w:hint="default" w:ascii="宋体" w:hAnsi="宋体" w:eastAsia="宋体" w:cs="宋体"/>
          <w:b/>
          <w:bCs/>
          <w:kern w:val="2"/>
          <w:sz w:val="30"/>
          <w:szCs w:val="30"/>
          <w:lang w:val="en-US" w:eastAsia="zh-CN" w:bidi="ar-SA"/>
        </w:rPr>
        <w:t>1.5</w:t>
      </w:r>
      <w:r>
        <w:rPr>
          <w:rFonts w:hint="default"/>
          <w:rtl w:val="0"/>
          <w:lang w:val="en-US" w:eastAsia="zh-CN"/>
        </w:rPr>
        <w:t>已通过招办会</w:t>
      </w:r>
    </w:p>
    <w:p w14:paraId="7C08E47D">
      <w:pPr>
        <w:rPr>
          <w:rFonts w:hint="default"/>
          <w:rtl w:val="0"/>
          <w:lang w:val="en-US" w:eastAsia="zh-CN"/>
        </w:rPr>
      </w:pPr>
      <w:r>
        <w:rPr>
          <w:rFonts w:hint="default"/>
          <w:rtl w:val="0"/>
          <w:lang w:val="en-US" w:eastAsia="zh-CN"/>
        </w:rPr>
        <w:t>当被分配的计划已经通过招办会，但还未发布公告时，该计划会在该页面进行展示。如果该计划还没完善过项目信息，还可以在操作区域中点击完善按钮，对项目信息进行完善。只有已通过招办会状态的计划可以进行完善项目信息。</w:t>
      </w:r>
    </w:p>
    <w:p w14:paraId="22F50C20">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1.6</w:t>
      </w:r>
      <w:r>
        <w:rPr>
          <w:rFonts w:hint="default"/>
          <w:rtl w:val="0"/>
          <w:lang w:val="en-US" w:eastAsia="zh-CN"/>
        </w:rPr>
        <w:t>进入招标程序</w:t>
      </w:r>
    </w:p>
    <w:p w14:paraId="6EFC0139">
      <w:pPr>
        <w:rPr>
          <w:rFonts w:hint="default"/>
          <w:rtl w:val="0"/>
          <w:lang w:val="en-US" w:eastAsia="zh-CN"/>
        </w:rPr>
      </w:pPr>
      <w:r>
        <w:rPr>
          <w:rFonts w:hint="default"/>
          <w:rtl w:val="0"/>
          <w:lang w:val="en-US" w:eastAsia="zh-CN"/>
        </w:rPr>
        <w:t>完善的项目，但还未完成时，该项目会在该页面进行展示。如果查看该项目的信息，可以在操作区域中点击进入项目按钮，对项目进行管理。</w:t>
      </w:r>
    </w:p>
    <w:p w14:paraId="1D31150A">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1.7</w:t>
      </w:r>
      <w:r>
        <w:rPr>
          <w:rFonts w:hint="default"/>
          <w:rtl w:val="0"/>
          <w:lang w:val="en-US" w:eastAsia="zh-CN"/>
        </w:rPr>
        <w:t>计划列表</w:t>
      </w:r>
    </w:p>
    <w:p w14:paraId="5C4C3F17">
      <w:pPr>
        <w:rPr>
          <w:rFonts w:hint="default"/>
          <w:rtl w:val="0"/>
          <w:lang w:val="en-US" w:eastAsia="zh-CN"/>
        </w:rPr>
      </w:pPr>
      <w:r>
        <w:rPr>
          <w:rFonts w:hint="default"/>
          <w:rtl w:val="0"/>
          <w:lang w:val="en-US" w:eastAsia="zh-CN"/>
        </w:rPr>
        <w:t>代理机构所被分配的所有计划都会在该页面进行展示，可以通过计划的所属年份，所属线路还有关键词进行搜索。如果还没完善的计划可以点击完善按钮进行查看(需要等待必要招标前置资料上传后才可以进行完善)。点击查看按钮可以查看计划的详情</w:t>
      </w:r>
      <w:r>
        <w:rPr>
          <w:rFonts w:hint="eastAsia"/>
          <w:rtl w:val="0"/>
          <w:lang w:val="en-US" w:eastAsia="zh-CN"/>
        </w:rPr>
        <w:t>。</w:t>
      </w:r>
    </w:p>
    <w:p w14:paraId="1FADE6D3">
      <w:pPr>
        <w:rPr>
          <w:rFonts w:hint="default"/>
          <w:rtl w:val="0"/>
          <w:lang w:val="en-US" w:eastAsia="zh-CN"/>
        </w:rPr>
      </w:pPr>
      <w:r>
        <w:rPr>
          <w:rFonts w:hint="default"/>
          <w:rtl w:val="0"/>
          <w:lang w:val="en-US" w:eastAsia="zh-CN"/>
        </w:rPr>
        <w:drawing>
          <wp:inline distT="0" distB="0" distL="114300" distR="114300">
            <wp:extent cx="4547235" cy="2294890"/>
            <wp:effectExtent l="0" t="0" r="571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547235" cy="2294890"/>
                    </a:xfrm>
                    <a:prstGeom prst="rect">
                      <a:avLst/>
                    </a:prstGeom>
                    <a:noFill/>
                    <a:ln>
                      <a:noFill/>
                    </a:ln>
                  </pic:spPr>
                </pic:pic>
              </a:graphicData>
            </a:graphic>
          </wp:inline>
        </w:drawing>
      </w:r>
    </w:p>
    <w:p w14:paraId="3DBA2F2F">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1.8</w:t>
      </w:r>
      <w:r>
        <w:rPr>
          <w:rFonts w:hint="default"/>
          <w:rtl w:val="0"/>
          <w:lang w:val="en-US" w:eastAsia="zh-CN"/>
        </w:rPr>
        <w:t>项目基础信息</w:t>
      </w:r>
    </w:p>
    <w:p w14:paraId="06BC1FF7">
      <w:pPr>
        <w:rPr>
          <w:rFonts w:hint="default"/>
          <w:rtl w:val="0"/>
          <w:lang w:val="en-US" w:eastAsia="zh-CN"/>
        </w:rPr>
      </w:pPr>
      <w:r>
        <w:rPr>
          <w:rFonts w:hint="default"/>
          <w:rtl w:val="0"/>
          <w:lang w:val="en-US" w:eastAsia="zh-CN"/>
        </w:rPr>
        <w:t>点击完善按钮可以对计划进行完善，项目名称、项目编号、项目分类、项目总金额、采购单位的输入框会自动填充信息，可以根据实际情况对内容进行修改。采购组织形式等选项，根据项目的实际情况进行填写，已经完成的自行招标项目，补录信息时请选择进场招标或自行招标采购(补录)。</w:t>
      </w:r>
    </w:p>
    <w:p w14:paraId="0E9B7520">
      <w:pPr>
        <w:rPr>
          <w:rFonts w:hint="default"/>
          <w:rtl w:val="0"/>
          <w:lang w:val="en-US" w:eastAsia="zh-CN"/>
        </w:rPr>
      </w:pPr>
    </w:p>
    <w:p w14:paraId="5AA50C3E">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1.9</w:t>
      </w:r>
      <w:r>
        <w:rPr>
          <w:rFonts w:hint="default"/>
          <w:rtl w:val="0"/>
          <w:lang w:val="en-US" w:eastAsia="zh-CN"/>
        </w:rPr>
        <w:t>标段基础信息</w:t>
      </w:r>
    </w:p>
    <w:p w14:paraId="332C4776">
      <w:pPr>
        <w:rPr>
          <w:rFonts w:hint="default"/>
          <w:rtl w:val="0"/>
          <w:lang w:val="en-US" w:eastAsia="zh-CN"/>
        </w:rPr>
      </w:pPr>
      <w:r>
        <w:rPr>
          <w:rFonts w:hint="default"/>
          <w:rtl w:val="0"/>
          <w:lang w:val="en-US" w:eastAsia="zh-CN"/>
        </w:rPr>
        <w:t>选如需添加多个标段,点击新增标段按钮即可，输入每个标段的招标控制价，如果需要填写价格备注时，在备注输入框内填写具体文字。所有内容填写完成之后，点击提交按钮即可。</w:t>
      </w:r>
    </w:p>
    <w:p w14:paraId="627DA4CD">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1.10</w:t>
      </w:r>
      <w:r>
        <w:rPr>
          <w:rFonts w:hint="default"/>
          <w:rtl w:val="0"/>
          <w:lang w:val="en-US" w:eastAsia="zh-CN"/>
        </w:rPr>
        <w:t>公告上传</w:t>
      </w:r>
    </w:p>
    <w:p w14:paraId="28BE9FC0">
      <w:pPr>
        <w:rPr>
          <w:rFonts w:hint="default"/>
          <w:rtl w:val="0"/>
          <w:lang w:val="en-US" w:eastAsia="zh-CN"/>
        </w:rPr>
      </w:pPr>
      <w:r>
        <w:rPr>
          <w:rFonts w:hint="default"/>
          <w:rtl w:val="0"/>
          <w:lang w:val="en-US" w:eastAsia="zh-CN"/>
        </w:rPr>
        <w:t>在公告上传版块，可以上传公告、上传变更公告、上传资格预审文件和澄清答疑文件。</w:t>
      </w:r>
    </w:p>
    <w:p w14:paraId="1676AF06">
      <w:pPr>
        <w:rPr>
          <w:rFonts w:hint="default"/>
          <w:rtl w:val="0"/>
          <w:lang w:val="en-US" w:eastAsia="zh-CN"/>
        </w:rPr>
      </w:pPr>
      <w:r>
        <w:rPr>
          <w:rFonts w:hint="default"/>
          <w:rtl w:val="0"/>
          <w:lang w:val="en-US" w:eastAsia="zh-CN"/>
        </w:rPr>
        <w:drawing>
          <wp:inline distT="0" distB="0" distL="114300" distR="114300">
            <wp:extent cx="5264150" cy="2124075"/>
            <wp:effectExtent l="0" t="0" r="1270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4150" cy="2124075"/>
                    </a:xfrm>
                    <a:prstGeom prst="rect">
                      <a:avLst/>
                    </a:prstGeom>
                    <a:noFill/>
                    <a:ln>
                      <a:noFill/>
                    </a:ln>
                  </pic:spPr>
                </pic:pic>
              </a:graphicData>
            </a:graphic>
          </wp:inline>
        </w:drawing>
      </w:r>
    </w:p>
    <w:p w14:paraId="73FB6A4A">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1.11</w:t>
      </w:r>
      <w:r>
        <w:rPr>
          <w:rFonts w:hint="default"/>
          <w:rtl w:val="0"/>
          <w:lang w:val="en-US" w:eastAsia="zh-CN"/>
        </w:rPr>
        <w:t>开评标管理</w:t>
      </w:r>
    </w:p>
    <w:p w14:paraId="12D28B3A">
      <w:pPr>
        <w:rPr>
          <w:rFonts w:hint="default"/>
          <w:rtl w:val="0"/>
          <w:lang w:val="en-US" w:eastAsia="zh-CN"/>
        </w:rPr>
      </w:pPr>
      <w:r>
        <w:rPr>
          <w:rFonts w:hint="default"/>
          <w:rtl w:val="0"/>
          <w:lang w:val="en-US" w:eastAsia="zh-CN"/>
        </w:rPr>
        <w:t>项目的开评标情况可以在这个版块进行设置，在开评标管理板块可以上传开评标资料，上传合格人投标人名单和发布废标公告。</w:t>
      </w:r>
    </w:p>
    <w:p w14:paraId="5AE399F1">
      <w:pPr>
        <w:rPr>
          <w:rFonts w:hint="default"/>
          <w:rtl w:val="0"/>
          <w:lang w:val="en-US" w:eastAsia="zh-CN"/>
        </w:rPr>
      </w:pPr>
      <w:r>
        <w:rPr>
          <w:rFonts w:hint="default"/>
          <w:rtl w:val="0"/>
          <w:lang w:val="en-US" w:eastAsia="zh-CN"/>
        </w:rPr>
        <w:drawing>
          <wp:inline distT="0" distB="0" distL="114300" distR="114300">
            <wp:extent cx="5269230" cy="2146300"/>
            <wp:effectExtent l="0" t="0" r="762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9230" cy="2146300"/>
                    </a:xfrm>
                    <a:prstGeom prst="rect">
                      <a:avLst/>
                    </a:prstGeom>
                    <a:noFill/>
                    <a:ln>
                      <a:noFill/>
                    </a:ln>
                  </pic:spPr>
                </pic:pic>
              </a:graphicData>
            </a:graphic>
          </wp:inline>
        </w:drawing>
      </w:r>
    </w:p>
    <w:p w14:paraId="5314F856">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1.12</w:t>
      </w:r>
      <w:r>
        <w:rPr>
          <w:rFonts w:hint="default"/>
          <w:rtl w:val="0"/>
          <w:lang w:val="en-US" w:eastAsia="zh-CN"/>
        </w:rPr>
        <w:t>中标公示</w:t>
      </w:r>
    </w:p>
    <w:p w14:paraId="07917F92">
      <w:pPr>
        <w:rPr>
          <w:rFonts w:hint="default"/>
          <w:rtl w:val="0"/>
          <w:lang w:val="en-US" w:eastAsia="zh-CN"/>
        </w:rPr>
      </w:pPr>
      <w:r>
        <w:rPr>
          <w:rFonts w:hint="default"/>
          <w:rtl w:val="0"/>
          <w:lang w:val="en-US" w:eastAsia="zh-CN"/>
        </w:rPr>
        <w:t>项目确定中标人后，需要在预中标公示版块上传预中标公示</w:t>
      </w:r>
    </w:p>
    <w:p w14:paraId="34B747DE">
      <w:pPr>
        <w:pStyle w:val="3"/>
        <w:numPr>
          <w:numId w:val="0"/>
        </w:numPr>
        <w:bidi w:val="0"/>
        <w:ind w:left="0" w:leftChars="0" w:firstLine="0" w:firstLineChars="0"/>
        <w:rPr>
          <w:rFonts w:hint="default"/>
          <w:rtl w:val="0"/>
          <w:lang w:val="en-US" w:eastAsia="zh-CN"/>
        </w:rPr>
      </w:pPr>
      <w:r>
        <w:rPr>
          <w:rFonts w:hint="default" w:ascii="宋体" w:hAnsi="宋体" w:eastAsia="宋体" w:cs="宋体"/>
          <w:b/>
          <w:bCs/>
          <w:kern w:val="2"/>
          <w:sz w:val="30"/>
          <w:szCs w:val="30"/>
          <w:rtl w:val="0"/>
          <w:lang w:val="en-US" w:eastAsia="zh-CN" w:bidi="ar-SA"/>
        </w:rPr>
        <w:t>1.13</w:t>
      </w:r>
      <w:r>
        <w:rPr>
          <w:rFonts w:hint="eastAsia" w:ascii="宋体" w:hAnsi="宋体" w:eastAsia="宋体" w:cs="宋体"/>
          <w:b/>
          <w:bCs/>
          <w:kern w:val="2"/>
          <w:sz w:val="30"/>
          <w:szCs w:val="30"/>
          <w:rtl w:val="0"/>
          <w:lang w:val="en-US" w:eastAsia="zh-CN" w:bidi="ar-SA"/>
        </w:rPr>
        <w:t xml:space="preserve"> </w:t>
      </w:r>
      <w:r>
        <w:rPr>
          <w:rFonts w:hint="default"/>
          <w:rtl w:val="0"/>
          <w:lang w:val="en-US" w:eastAsia="zh-CN"/>
        </w:rPr>
        <w:t>项目完结</w:t>
      </w:r>
    </w:p>
    <w:p w14:paraId="3A78FC75">
      <w:pPr>
        <w:rPr>
          <w:rFonts w:hint="default"/>
          <w:rtl w:val="0"/>
          <w:lang w:val="en-US" w:eastAsia="zh-CN"/>
        </w:rPr>
      </w:pPr>
      <w:r>
        <w:rPr>
          <w:rFonts w:hint="default"/>
          <w:rtl w:val="0"/>
          <w:lang w:val="en-US" w:eastAsia="zh-CN"/>
        </w:rPr>
        <w:t>项目完成后需要点击项目完结按钮，点击后项目才算为完成状态，但完结后不可以在进行操作。在标段被废标并且没有上传直接发包通知书在项目完结后可以重新对废标进行二次招标。</w:t>
      </w:r>
    </w:p>
    <w:p w14:paraId="4246C789">
      <w:pPr>
        <w:rPr>
          <w:rFonts w:hint="default"/>
          <w:rtl w:val="0"/>
          <w:lang w:val="en-US" w:eastAsia="zh-CN"/>
        </w:rPr>
      </w:pPr>
      <w:r>
        <w:rPr>
          <w:rFonts w:hint="default"/>
          <w:rtl w:val="0"/>
          <w:lang w:val="en-US" w:eastAsia="zh-CN"/>
        </w:rPr>
        <w:drawing>
          <wp:inline distT="0" distB="0" distL="114300" distR="114300">
            <wp:extent cx="5258435" cy="1929765"/>
            <wp:effectExtent l="0" t="0"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58435" cy="1929765"/>
                    </a:xfrm>
                    <a:prstGeom prst="rect">
                      <a:avLst/>
                    </a:prstGeom>
                    <a:noFill/>
                    <a:ln>
                      <a:noFill/>
                    </a:ln>
                  </pic:spPr>
                </pic:pic>
              </a:graphicData>
            </a:graphic>
          </wp:inline>
        </w:drawing>
      </w:r>
    </w:p>
    <w:p w14:paraId="262A7BE8">
      <w:pPr>
        <w:rPr>
          <w:rFonts w:hint="default"/>
          <w:rtl w:val="0"/>
          <w:lang w:val="en-US" w:eastAsia="zh-CN"/>
        </w:rPr>
      </w:pPr>
    </w:p>
    <w:p w14:paraId="2C7E842F">
      <w:pPr>
        <w:pStyle w:val="2"/>
        <w:bidi w:val="0"/>
        <w:rPr>
          <w:rFonts w:hint="eastAsia"/>
          <w:rtl w:val="0"/>
          <w:lang w:val="en-US" w:eastAsia="zh-CN"/>
        </w:rPr>
      </w:pPr>
      <w:r>
        <w:rPr>
          <w:rFonts w:hint="eastAsia"/>
          <w:rtl w:val="0"/>
          <w:lang w:val="en-US" w:eastAsia="zh-CN"/>
        </w:rPr>
        <w:t>供应商</w:t>
      </w:r>
    </w:p>
    <w:p w14:paraId="7A7172FA">
      <w:pPr>
        <w:pStyle w:val="3"/>
        <w:bidi w:val="0"/>
        <w:rPr>
          <w:rFonts w:hint="eastAsia"/>
          <w:rtl w:val="0"/>
          <w:lang w:val="en-US" w:eastAsia="zh-CN"/>
        </w:rPr>
      </w:pPr>
      <w:bookmarkStart w:id="9" w:name="_Toc11889"/>
      <w:bookmarkStart w:id="10" w:name="_Toc1952"/>
      <w:bookmarkStart w:id="11" w:name="_Toc29574"/>
      <w:bookmarkStart w:id="12" w:name="_Toc8803"/>
      <w:bookmarkStart w:id="13" w:name="_Toc3202"/>
      <w:bookmarkStart w:id="14" w:name="_Toc2077"/>
      <w:r>
        <w:rPr>
          <w:rFonts w:hint="eastAsia"/>
          <w:rtl w:val="0"/>
          <w:lang w:val="en-US" w:eastAsia="zh-CN"/>
        </w:rPr>
        <w:t>登录</w:t>
      </w:r>
      <w:bookmarkEnd w:id="9"/>
      <w:bookmarkEnd w:id="10"/>
      <w:bookmarkEnd w:id="11"/>
      <w:bookmarkEnd w:id="12"/>
      <w:bookmarkEnd w:id="13"/>
      <w:bookmarkEnd w:id="14"/>
    </w:p>
    <w:p w14:paraId="5C0BCDF6">
      <w:pPr>
        <w:rPr>
          <w:rFonts w:hint="eastAsia"/>
          <w:rtl w:val="0"/>
          <w:lang w:val="en-US" w:eastAsia="zh-CN"/>
        </w:rPr>
      </w:pPr>
      <w:r>
        <w:rPr>
          <w:rFonts w:hint="eastAsia"/>
          <w:rtl w:val="0"/>
          <w:lang w:val="en-US" w:eastAsia="zh-CN"/>
        </w:rPr>
        <w:t>供应商要使用该平台参与业务，必须进行账号注册，注册过程中需填写供应商的真实企业基本信息。第一步: 选择供应商，第二步:点击注册，第三步: 仔细阅读注册协议并点击同意下一步， 填写供应商真实的企业基本信息。</w:t>
      </w:r>
    </w:p>
    <w:p w14:paraId="19B4343B">
      <w:pPr>
        <w:pStyle w:val="3"/>
        <w:bidi w:val="0"/>
        <w:rPr>
          <w:rFonts w:hint="eastAsia"/>
          <w:rtl w:val="0"/>
          <w:lang w:val="en-US" w:eastAsia="zh-CN"/>
        </w:rPr>
      </w:pPr>
      <w:bookmarkStart w:id="15" w:name="_Toc7648"/>
      <w:bookmarkStart w:id="16" w:name="_Toc11426"/>
      <w:bookmarkStart w:id="17" w:name="_Toc29605"/>
      <w:bookmarkStart w:id="18" w:name="_Toc19134"/>
      <w:bookmarkStart w:id="19" w:name="_Toc21035"/>
      <w:bookmarkStart w:id="20" w:name="_Toc21714"/>
      <w:r>
        <w:rPr>
          <w:rFonts w:hint="eastAsia"/>
          <w:rtl w:val="0"/>
          <w:lang w:val="en-US" w:eastAsia="zh-CN"/>
        </w:rPr>
        <w:t>首页</w:t>
      </w:r>
      <w:bookmarkEnd w:id="15"/>
      <w:bookmarkEnd w:id="16"/>
      <w:bookmarkEnd w:id="17"/>
      <w:bookmarkEnd w:id="18"/>
      <w:bookmarkEnd w:id="19"/>
      <w:bookmarkEnd w:id="20"/>
    </w:p>
    <w:p w14:paraId="5A833899">
      <w:pPr>
        <w:rPr>
          <w:rFonts w:hint="eastAsia"/>
          <w:rtl w:val="0"/>
          <w:lang w:val="en-US" w:eastAsia="zh-CN"/>
        </w:rPr>
      </w:pPr>
      <w:r>
        <w:rPr>
          <w:rFonts w:hint="eastAsia"/>
          <w:rtl w:val="0"/>
          <w:lang w:val="en-US" w:eastAsia="zh-CN"/>
        </w:rPr>
        <w:t>点击可查看那些项目可以报名。点击项目可看到项目具体信息。选择标段，点击我要报名可正常参与项目投标。</w:t>
      </w:r>
    </w:p>
    <w:p w14:paraId="10A39E0D">
      <w:pPr>
        <w:rPr>
          <w:rFonts w:hint="default"/>
          <w:rtl w:val="0"/>
          <w:lang w:val="en-US" w:eastAsia="zh-CN"/>
        </w:rPr>
      </w:pPr>
      <w:r>
        <w:rPr>
          <w:rFonts w:hint="default"/>
          <w:rtl w:val="0"/>
          <w:lang w:val="en-US" w:eastAsia="zh-CN"/>
        </w:rPr>
        <w:drawing>
          <wp:inline distT="0" distB="0" distL="114300" distR="114300">
            <wp:extent cx="5266690" cy="2617470"/>
            <wp:effectExtent l="0" t="0" r="1016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6690" cy="2617470"/>
                    </a:xfrm>
                    <a:prstGeom prst="rect">
                      <a:avLst/>
                    </a:prstGeom>
                    <a:noFill/>
                    <a:ln>
                      <a:noFill/>
                    </a:ln>
                  </pic:spPr>
                </pic:pic>
              </a:graphicData>
            </a:graphic>
          </wp:inline>
        </w:drawing>
      </w:r>
    </w:p>
    <w:p w14:paraId="4F07F8CE">
      <w:pPr>
        <w:pStyle w:val="3"/>
        <w:bidi w:val="0"/>
        <w:rPr>
          <w:rFonts w:hint="eastAsia"/>
          <w:rtl w:val="0"/>
          <w:lang w:val="en-US" w:eastAsia="zh-CN"/>
        </w:rPr>
      </w:pPr>
      <w:bookmarkStart w:id="21" w:name="_Toc4253"/>
      <w:bookmarkStart w:id="22" w:name="_Toc3738"/>
      <w:bookmarkStart w:id="23" w:name="_Toc32331"/>
      <w:bookmarkStart w:id="24" w:name="_Toc22636"/>
      <w:bookmarkStart w:id="25" w:name="_Toc4316"/>
      <w:bookmarkStart w:id="26" w:name="_Toc1931"/>
      <w:r>
        <w:rPr>
          <w:rFonts w:hint="eastAsia"/>
          <w:rtl w:val="0"/>
          <w:lang w:val="en-US" w:eastAsia="zh-CN"/>
        </w:rPr>
        <w:t>参与项目</w:t>
      </w:r>
      <w:bookmarkEnd w:id="21"/>
      <w:bookmarkEnd w:id="22"/>
      <w:bookmarkEnd w:id="23"/>
      <w:bookmarkEnd w:id="24"/>
      <w:bookmarkEnd w:id="25"/>
      <w:bookmarkEnd w:id="26"/>
    </w:p>
    <w:p w14:paraId="78E18708">
      <w:pPr>
        <w:rPr>
          <w:rFonts w:hint="eastAsia"/>
          <w:rtl w:val="0"/>
          <w:lang w:val="en-US" w:eastAsia="zh-CN"/>
        </w:rPr>
      </w:pPr>
      <w:r>
        <w:rPr>
          <w:rFonts w:hint="default"/>
          <w:rtl w:val="0"/>
          <w:lang w:val="en-US" w:eastAsia="zh-CN"/>
        </w:rPr>
        <w:t>通过关键字查询过往项目信息</w:t>
      </w:r>
      <w:r>
        <w:rPr>
          <w:rFonts w:hint="eastAsia"/>
          <w:rtl w:val="0"/>
          <w:lang w:val="en-US" w:eastAsia="zh-CN"/>
        </w:rPr>
        <w:t>,在门户首页的项目公告找到要参与的项目,点击我要报名。输入联系人姓名和联系电话。是否跳转到标段详情页，如果点击是，会跳转到项目管理内的项目详情页。如果点否，会停留在当前页面。</w:t>
      </w:r>
    </w:p>
    <w:p w14:paraId="348A4609">
      <w:pPr>
        <w:rPr>
          <w:rFonts w:hint="default"/>
          <w:rtl w:val="0"/>
          <w:lang w:val="en-US" w:eastAsia="zh-CN"/>
        </w:rPr>
      </w:pPr>
      <w:r>
        <w:rPr>
          <w:rFonts w:hint="default"/>
          <w:rtl w:val="0"/>
          <w:lang w:val="en-US" w:eastAsia="zh-CN"/>
        </w:rPr>
        <w:drawing>
          <wp:inline distT="0" distB="0" distL="114300" distR="114300">
            <wp:extent cx="5272405" cy="3336290"/>
            <wp:effectExtent l="0" t="0" r="4445"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2405" cy="3336290"/>
                    </a:xfrm>
                    <a:prstGeom prst="rect">
                      <a:avLst/>
                    </a:prstGeom>
                    <a:noFill/>
                    <a:ln>
                      <a:noFill/>
                    </a:ln>
                  </pic:spPr>
                </pic:pic>
              </a:graphicData>
            </a:graphic>
          </wp:inline>
        </w:drawing>
      </w:r>
    </w:p>
    <w:p w14:paraId="3AA68310">
      <w:pPr>
        <w:rPr>
          <w:rFonts w:hint="default"/>
          <w:rtl w:val="0"/>
          <w:lang w:val="en-US" w:eastAsia="zh-CN"/>
        </w:rPr>
      </w:pPr>
      <w:r>
        <w:rPr>
          <w:rFonts w:hint="default"/>
          <w:rtl w:val="0"/>
          <w:lang w:val="en-US" w:eastAsia="zh-CN"/>
        </w:rPr>
        <w:drawing>
          <wp:inline distT="0" distB="0" distL="114300" distR="114300">
            <wp:extent cx="5271135" cy="2219960"/>
            <wp:effectExtent l="0" t="0" r="571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1135" cy="2219960"/>
                    </a:xfrm>
                    <a:prstGeom prst="rect">
                      <a:avLst/>
                    </a:prstGeom>
                    <a:noFill/>
                    <a:ln>
                      <a:noFill/>
                    </a:ln>
                  </pic:spPr>
                </pic:pic>
              </a:graphicData>
            </a:graphic>
          </wp:inline>
        </w:drawing>
      </w:r>
    </w:p>
    <w:p w14:paraId="2BC484C0">
      <w:pPr>
        <w:pStyle w:val="3"/>
        <w:bidi w:val="0"/>
        <w:rPr>
          <w:rFonts w:hint="default"/>
          <w:rtl w:val="0"/>
          <w:lang w:val="en-US" w:eastAsia="zh-CN"/>
        </w:rPr>
      </w:pPr>
      <w:bookmarkStart w:id="27" w:name="_Toc13250"/>
      <w:bookmarkStart w:id="28" w:name="_Toc16976"/>
      <w:bookmarkStart w:id="29" w:name="_Toc6953"/>
      <w:bookmarkStart w:id="30" w:name="_Toc5417"/>
      <w:bookmarkStart w:id="31" w:name="_Toc4620"/>
      <w:bookmarkStart w:id="32" w:name="_Toc25745"/>
      <w:r>
        <w:rPr>
          <w:rFonts w:hint="default"/>
          <w:rtl w:val="0"/>
          <w:lang w:val="en-US" w:eastAsia="zh-CN"/>
        </w:rPr>
        <w:t>CA管理</w:t>
      </w:r>
      <w:bookmarkEnd w:id="27"/>
      <w:bookmarkEnd w:id="28"/>
      <w:bookmarkEnd w:id="29"/>
      <w:bookmarkEnd w:id="30"/>
      <w:bookmarkEnd w:id="31"/>
      <w:bookmarkEnd w:id="32"/>
    </w:p>
    <w:p w14:paraId="2C63E9C9">
      <w:pPr>
        <w:rPr>
          <w:rFonts w:hint="default"/>
          <w:rtl w:val="0"/>
          <w:lang w:val="en-US" w:eastAsia="zh-CN"/>
        </w:rPr>
      </w:pPr>
      <w:r>
        <w:rPr>
          <w:rFonts w:hint="default"/>
          <w:rtl w:val="0"/>
          <w:lang w:val="en-US" w:eastAsia="zh-CN"/>
        </w:rPr>
        <w:t>（1）点击新办CA，进入页面后，选择安卓版或苹果版扫描二维码并下载。 点击下载App操作手册，根据操作手册办理CA。提前准备申请办理CA的材料扫描件:单位证书申请表（加盖公章）、经办人身份证复印件（加盖公章）、法定代表人身份证复印件（加盖公章）、营业执照原件（加盖公章）。下载证书申请附表。</w:t>
      </w:r>
    </w:p>
    <w:p w14:paraId="6D59F22A">
      <w:pPr>
        <w:rPr>
          <w:rFonts w:hint="default"/>
          <w:rtl w:val="0"/>
          <w:lang w:val="en-US" w:eastAsia="zh-CN"/>
        </w:rPr>
      </w:pPr>
      <w:r>
        <w:rPr>
          <w:rFonts w:hint="default"/>
          <w:rtl w:val="0"/>
          <w:lang w:val="en-US" w:eastAsia="zh-CN"/>
        </w:rPr>
        <w:drawing>
          <wp:inline distT="0" distB="0" distL="114300" distR="114300">
            <wp:extent cx="5269230" cy="2083435"/>
            <wp:effectExtent l="0" t="0" r="762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69230" cy="2083435"/>
                    </a:xfrm>
                    <a:prstGeom prst="rect">
                      <a:avLst/>
                    </a:prstGeom>
                    <a:noFill/>
                    <a:ln>
                      <a:noFill/>
                    </a:ln>
                  </pic:spPr>
                </pic:pic>
              </a:graphicData>
            </a:graphic>
          </wp:inline>
        </w:drawing>
      </w:r>
    </w:p>
    <w:p w14:paraId="653E438A">
      <w:pPr>
        <w:pStyle w:val="3"/>
        <w:bidi w:val="0"/>
        <w:rPr>
          <w:rFonts w:hint="default"/>
          <w:rtl w:val="0"/>
          <w:lang w:val="en-US" w:eastAsia="zh-CN"/>
        </w:rPr>
      </w:pPr>
      <w:bookmarkStart w:id="33" w:name="_Toc14381"/>
      <w:bookmarkStart w:id="34" w:name="_Toc24278"/>
      <w:bookmarkStart w:id="35" w:name="_Toc15506"/>
      <w:bookmarkStart w:id="36" w:name="_Toc28287"/>
      <w:bookmarkStart w:id="37" w:name="_Toc27776"/>
      <w:bookmarkStart w:id="38" w:name="_Toc14779"/>
      <w:r>
        <w:rPr>
          <w:rFonts w:hint="default"/>
          <w:rtl w:val="0"/>
          <w:lang w:val="en-US" w:eastAsia="zh-CN"/>
        </w:rPr>
        <w:t>个人中心</w:t>
      </w:r>
      <w:bookmarkEnd w:id="33"/>
      <w:bookmarkEnd w:id="34"/>
      <w:bookmarkEnd w:id="35"/>
      <w:bookmarkEnd w:id="36"/>
      <w:bookmarkEnd w:id="37"/>
      <w:bookmarkEnd w:id="38"/>
    </w:p>
    <w:p w14:paraId="10A92868">
      <w:pPr>
        <w:rPr>
          <w:rFonts w:hint="default"/>
          <w:rtl w:val="0"/>
          <w:lang w:val="en-US" w:eastAsia="zh-CN"/>
        </w:rPr>
      </w:pPr>
      <w:r>
        <w:rPr>
          <w:rFonts w:hint="default"/>
          <w:rtl w:val="0"/>
          <w:lang w:val="en-US" w:eastAsia="zh-CN"/>
        </w:rPr>
        <w:t>浏览和修改自己填写的企业信息</w:t>
      </w:r>
      <w:r>
        <w:rPr>
          <w:rFonts w:hint="eastAsia"/>
          <w:rtl w:val="0"/>
          <w:lang w:val="en-US" w:eastAsia="zh-CN"/>
        </w:rPr>
        <w:t>,以及登录的账号密码</w:t>
      </w:r>
    </w:p>
    <w:p w14:paraId="271815AB">
      <w:pPr>
        <w:rPr>
          <w:rFonts w:hint="default"/>
          <w:rtl w:val="0"/>
          <w:lang w:val="en-US" w:eastAsia="zh-CN"/>
        </w:rPr>
      </w:pPr>
      <w:r>
        <w:rPr>
          <w:rFonts w:hint="default"/>
          <w:rtl w:val="0"/>
          <w:lang w:val="en-US" w:eastAsia="zh-CN"/>
        </w:rPr>
        <w:drawing>
          <wp:inline distT="0" distB="0" distL="114300" distR="114300">
            <wp:extent cx="5264150" cy="2177415"/>
            <wp:effectExtent l="0" t="0" r="12700"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4150" cy="2177415"/>
                    </a:xfrm>
                    <a:prstGeom prst="rect">
                      <a:avLst/>
                    </a:prstGeom>
                    <a:noFill/>
                    <a:ln>
                      <a:noFill/>
                    </a:ln>
                  </pic:spPr>
                </pic:pic>
              </a:graphicData>
            </a:graphic>
          </wp:inline>
        </w:drawing>
      </w:r>
      <w:bookmarkStart w:id="39" w:name="_GoBack"/>
      <w:bookmarkEnd w:id="3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B231C"/>
    <w:multiLevelType w:val="multilevel"/>
    <w:tmpl w:val="046B231C"/>
    <w:lvl w:ilvl="0" w:tentative="0">
      <w:start w:val="1"/>
      <w:numFmt w:val="chineseCountingThousand"/>
      <w:suff w:val="space"/>
      <w:lvlText w:val="第%1章"/>
      <w:lvlJc w:val="left"/>
      <w:pPr>
        <w:ind w:left="0" w:firstLine="0"/>
      </w:pPr>
      <w:rPr>
        <w:rFonts w:hint="eastAsia"/>
        <w:sz w:val="32"/>
        <w:szCs w:val="32"/>
      </w:rPr>
    </w:lvl>
    <w:lvl w:ilvl="1" w:tentative="0">
      <w:start w:val="1"/>
      <w:numFmt w:val="decimal"/>
      <w:pStyle w:val="3"/>
      <w:isLgl/>
      <w:suff w:val="space"/>
      <w:lvlText w:val="%1.%2"/>
      <w:lvlJc w:val="left"/>
      <w:pPr>
        <w:ind w:left="0" w:firstLine="0"/>
      </w:pPr>
      <w:rPr>
        <w:rFonts w:hint="default" w:ascii="宋体" w:hAnsi="宋体" w:eastAsia="宋体" w:cs="宋体"/>
        <w:b/>
        <w:sz w:val="30"/>
        <w:szCs w:val="30"/>
      </w:rPr>
    </w:lvl>
    <w:lvl w:ilvl="2" w:tentative="0">
      <w:start w:val="1"/>
      <w:numFmt w:val="decimal"/>
      <w:isLgl/>
      <w:suff w:val="space"/>
      <w:lvlText w:val="%1.%2.%3"/>
      <w:lvlJc w:val="left"/>
      <w:pPr>
        <w:ind w:left="0" w:firstLine="0"/>
      </w:pPr>
      <w:rPr>
        <w:rFonts w:hint="default" w:ascii="宋体" w:hAnsi="宋体" w:eastAsia="宋体" w:cs="宋体"/>
        <w:sz w:val="28"/>
        <w:szCs w:val="28"/>
      </w:rPr>
    </w:lvl>
    <w:lvl w:ilvl="3" w:tentative="0">
      <w:start w:val="1"/>
      <w:numFmt w:val="decimal"/>
      <w:isLgl/>
      <w:suff w:val="space"/>
      <w:lvlText w:val="%1.%2.%3.%4"/>
      <w:lvlJc w:val="left"/>
      <w:pPr>
        <w:ind w:left="0" w:firstLine="0"/>
      </w:pPr>
      <w:rPr>
        <w:rFonts w:hint="default" w:ascii="宋体" w:hAnsi="宋体" w:eastAsia="宋体" w:cs="宋体"/>
        <w:sz w:val="28"/>
        <w:szCs w:val="28"/>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1"/>
      <w:numFmt w:val="decimal"/>
      <w:isLgl/>
      <w:suff w:val="space"/>
      <w:lvlText w:val="%1.%2.%3.%4.%5.%6.%7"/>
      <w:lvlJc w:val="left"/>
      <w:pPr>
        <w:ind w:left="0" w:firstLine="0"/>
      </w:pPr>
      <w:rPr>
        <w:rFonts w:hint="eastAsia"/>
      </w:rPr>
    </w:lvl>
    <w:lvl w:ilvl="7" w:tentative="0">
      <w:start w:val="1"/>
      <w:numFmt w:val="decimal"/>
      <w:isLgl/>
      <w:lvlText w:val="%1.%2.%3.%4.%5.%6.%7.%8"/>
      <w:lvlJc w:val="left"/>
      <w:pPr>
        <w:ind w:left="0" w:firstLine="0"/>
      </w:pPr>
      <w:rPr>
        <w:rFonts w:hint="eastAsia"/>
      </w:rPr>
    </w:lvl>
    <w:lvl w:ilvl="8" w:tentative="0">
      <w:start w:val="1"/>
      <w:numFmt w:val="decimal"/>
      <w:isLg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722938"/>
    <w:rsid w:val="000B06F3"/>
    <w:rsid w:val="00113C9C"/>
    <w:rsid w:val="00203E1B"/>
    <w:rsid w:val="00243F66"/>
    <w:rsid w:val="002A66AA"/>
    <w:rsid w:val="002F1490"/>
    <w:rsid w:val="00315DE1"/>
    <w:rsid w:val="003C6C0C"/>
    <w:rsid w:val="00434BE9"/>
    <w:rsid w:val="00446EA9"/>
    <w:rsid w:val="00457336"/>
    <w:rsid w:val="004C1EE3"/>
    <w:rsid w:val="00506E02"/>
    <w:rsid w:val="00507FE0"/>
    <w:rsid w:val="005176A8"/>
    <w:rsid w:val="005A3B3D"/>
    <w:rsid w:val="005D1DBB"/>
    <w:rsid w:val="00636823"/>
    <w:rsid w:val="00660AF8"/>
    <w:rsid w:val="00722938"/>
    <w:rsid w:val="007673D8"/>
    <w:rsid w:val="007B03CF"/>
    <w:rsid w:val="00884C15"/>
    <w:rsid w:val="00972642"/>
    <w:rsid w:val="00AF2386"/>
    <w:rsid w:val="00BE0EB8"/>
    <w:rsid w:val="00C23799"/>
    <w:rsid w:val="00C90E39"/>
    <w:rsid w:val="00DC53D1"/>
    <w:rsid w:val="00E46BB8"/>
    <w:rsid w:val="00F92163"/>
    <w:rsid w:val="02166BD9"/>
    <w:rsid w:val="025A01FA"/>
    <w:rsid w:val="07117EF5"/>
    <w:rsid w:val="0CB60E10"/>
    <w:rsid w:val="0DB722B0"/>
    <w:rsid w:val="0F3C7675"/>
    <w:rsid w:val="13942CEF"/>
    <w:rsid w:val="170E5215"/>
    <w:rsid w:val="19265A82"/>
    <w:rsid w:val="1CFA42B9"/>
    <w:rsid w:val="1EB81AFB"/>
    <w:rsid w:val="1F666BD8"/>
    <w:rsid w:val="1FA53D67"/>
    <w:rsid w:val="20D364EF"/>
    <w:rsid w:val="214A1445"/>
    <w:rsid w:val="218A53FB"/>
    <w:rsid w:val="234918F5"/>
    <w:rsid w:val="23902475"/>
    <w:rsid w:val="255676D4"/>
    <w:rsid w:val="269676B2"/>
    <w:rsid w:val="28B52C3A"/>
    <w:rsid w:val="2B43417C"/>
    <w:rsid w:val="2B876279"/>
    <w:rsid w:val="2BFD6D4D"/>
    <w:rsid w:val="2C163734"/>
    <w:rsid w:val="32943604"/>
    <w:rsid w:val="33DA14EB"/>
    <w:rsid w:val="38975BFC"/>
    <w:rsid w:val="3AD57AD7"/>
    <w:rsid w:val="3B0317FE"/>
    <w:rsid w:val="3C574EA6"/>
    <w:rsid w:val="408B6047"/>
    <w:rsid w:val="44274B3C"/>
    <w:rsid w:val="450D34CE"/>
    <w:rsid w:val="47D013B0"/>
    <w:rsid w:val="498D72D3"/>
    <w:rsid w:val="4C1F2A59"/>
    <w:rsid w:val="4C995F8F"/>
    <w:rsid w:val="4EF23735"/>
    <w:rsid w:val="56D455F1"/>
    <w:rsid w:val="581D2F8B"/>
    <w:rsid w:val="5847689F"/>
    <w:rsid w:val="588B2C30"/>
    <w:rsid w:val="5A2E47B1"/>
    <w:rsid w:val="5BDB7A2A"/>
    <w:rsid w:val="5DB62AC5"/>
    <w:rsid w:val="5EBF7084"/>
    <w:rsid w:val="5F6E0BB6"/>
    <w:rsid w:val="68A31BBA"/>
    <w:rsid w:val="6EE352D6"/>
    <w:rsid w:val="708C3DFB"/>
    <w:rsid w:val="717951B5"/>
    <w:rsid w:val="759E3B4B"/>
    <w:rsid w:val="761958C7"/>
    <w:rsid w:val="770F2826"/>
    <w:rsid w:val="77212C85"/>
    <w:rsid w:val="7E244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spacing w:line="360" w:lineRule="auto"/>
      <w:outlineLvl w:val="1"/>
    </w:pPr>
    <w:rPr>
      <w:rFonts w:ascii="黑体" w:hAnsi="黑体" w:eastAsia="黑体" w:cs="黑体"/>
      <w:b/>
      <w:bCs/>
      <w:sz w:val="28"/>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2"/>
    <w:semiHidden/>
    <w:unhideWhenUsed/>
    <w:qFormat/>
    <w:uiPriority w:val="99"/>
    <w:rPr>
      <w:sz w:val="18"/>
      <w:szCs w:val="18"/>
    </w:rPr>
  </w:style>
  <w:style w:type="paragraph" w:styleId="6">
    <w:name w:val="footer"/>
    <w:basedOn w:val="1"/>
    <w:link w:val="14"/>
    <w:semiHidden/>
    <w:unhideWhenUsed/>
    <w:qFormat/>
    <w:uiPriority w:val="99"/>
    <w:pPr>
      <w:tabs>
        <w:tab w:val="center" w:pos="4153"/>
        <w:tab w:val="right" w:pos="8306"/>
      </w:tabs>
      <w:snapToGrid w:val="0"/>
      <w:jc w:val="left"/>
    </w:pPr>
    <w:rPr>
      <w:sz w:val="18"/>
      <w:szCs w:val="18"/>
    </w:rPr>
  </w:style>
  <w:style w:type="paragraph" w:styleId="7">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563C1" w:themeColor="hyperlink"/>
      <w:u w:val="single"/>
    </w:rPr>
  </w:style>
  <w:style w:type="paragraph" w:styleId="11">
    <w:name w:val="List Paragraph"/>
    <w:basedOn w:val="1"/>
    <w:qFormat/>
    <w:uiPriority w:val="34"/>
    <w:pPr>
      <w:ind w:firstLine="420" w:firstLineChars="200"/>
    </w:pPr>
  </w:style>
  <w:style w:type="character" w:customStyle="1" w:styleId="12">
    <w:name w:val="批注框文本 字符"/>
    <w:basedOn w:val="9"/>
    <w:link w:val="5"/>
    <w:semiHidden/>
    <w:qFormat/>
    <w:uiPriority w:val="99"/>
    <w:rPr>
      <w:sz w:val="18"/>
      <w:szCs w:val="18"/>
    </w:rPr>
  </w:style>
  <w:style w:type="character" w:customStyle="1" w:styleId="13">
    <w:name w:val="页眉 字符"/>
    <w:basedOn w:val="9"/>
    <w:link w:val="7"/>
    <w:semiHidden/>
    <w:qFormat/>
    <w:uiPriority w:val="99"/>
    <w:rPr>
      <w:sz w:val="18"/>
      <w:szCs w:val="18"/>
    </w:rPr>
  </w:style>
  <w:style w:type="character" w:customStyle="1" w:styleId="14">
    <w:name w:val="页脚 字符"/>
    <w:basedOn w:val="9"/>
    <w:link w:val="6"/>
    <w:semiHidden/>
    <w:qFormat/>
    <w:uiPriority w:val="99"/>
    <w:rPr>
      <w:sz w:val="18"/>
      <w:szCs w:val="18"/>
    </w:rPr>
  </w:style>
  <w:style w:type="paragraph" w:customStyle="1" w:styleId="15">
    <w:name w:val="正文（首行缩进2）"/>
    <w:basedOn w:val="1"/>
    <w:autoRedefine/>
    <w:qFormat/>
    <w:uiPriority w:val="0"/>
    <w:pPr>
      <w:spacing w:line="360" w:lineRule="auto"/>
      <w:ind w:firstLine="200" w:firstLineChars="200"/>
    </w:pPr>
    <w:rPr>
      <w:rFonts w:ascii="Arial Unicode MS" w:hAnsi="Arial Unicode M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109</Words>
  <Characters>110</Characters>
  <Lines>13</Lines>
  <Paragraphs>3</Paragraphs>
  <TotalTime>1</TotalTime>
  <ScaleCrop>false</ScaleCrop>
  <LinksUpToDate>false</LinksUpToDate>
  <CharactersWithSpaces>110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2020-09-02T02:06:00Z</dcterms:created>
  <dc:creator>弋 大为</dc:creator>
  <cp:lastModifiedBy>Programmer</cp:lastModifiedBy>
  <dcterms:modified xsi:type="dcterms:W3CDTF">2025-11-17T05:49:32Z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eyJoZGlkIjoiZTM0ODViMzE2MGViOWRiNGJhZDUwN2JiZGFmODRhYTYiLCJ1c2VySWQiOiI3NDY4MTUwNDgifQ==</vt:lpwstr>
  </property>
  <property fmtid="{D5CDD505-2E9C-101B-9397-08002B2CF9AE}" pid="3" name="KSOProductBuildVer">
    <vt:lpwstr>2052-12.1.0.23542</vt:lpwstr>
  </property>
  <property fmtid="{D5CDD505-2E9C-101B-9397-08002B2CF9AE}" pid="4" name="ICV">
    <vt:lpwstr>25B386D2640146D9A5D863732D89E5E7_12</vt:lpwstr>
  </property>
</Properties>
</file>