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F229A">
      <w:pPr>
        <w:pStyle w:val="23"/>
        <w:rPr>
          <w:rFonts w:ascii="仿宋" w:hAnsi="仿宋" w:eastAsia="仿宋"/>
          <w:sz w:val="52"/>
          <w:szCs w:val="52"/>
        </w:rPr>
      </w:pPr>
    </w:p>
    <w:p w14:paraId="2F6775AF">
      <w:pPr>
        <w:pStyle w:val="23"/>
        <w:rPr>
          <w:rFonts w:ascii="仿宋" w:hAnsi="仿宋" w:eastAsia="仿宋"/>
          <w:sz w:val="52"/>
          <w:szCs w:val="52"/>
        </w:rPr>
      </w:pPr>
    </w:p>
    <w:p w14:paraId="42B21FF5">
      <w:pPr>
        <w:pStyle w:val="23"/>
        <w:rPr>
          <w:rFonts w:ascii="仿宋" w:hAnsi="仿宋" w:eastAsia="仿宋"/>
          <w:sz w:val="52"/>
          <w:szCs w:val="52"/>
        </w:rPr>
      </w:pPr>
    </w:p>
    <w:p w14:paraId="0395FFD8">
      <w:pPr>
        <w:pStyle w:val="23"/>
        <w:rPr>
          <w:rFonts w:hint="eastAsia" w:ascii="仿宋" w:hAnsi="仿宋" w:eastAsia="仿宋"/>
          <w:sz w:val="52"/>
          <w:szCs w:val="52"/>
        </w:rPr>
      </w:pPr>
      <w:bookmarkStart w:id="0" w:name="_Toc75868474"/>
      <w:r>
        <w:rPr>
          <w:rFonts w:hint="eastAsia" w:ascii="仿宋" w:hAnsi="仿宋" w:eastAsia="仿宋"/>
          <w:sz w:val="52"/>
          <w:szCs w:val="52"/>
          <w:lang w:val="en-US" w:eastAsia="zh-CN"/>
        </w:rPr>
        <w:t>AI空调</w:t>
      </w:r>
      <w:r>
        <w:rPr>
          <w:rFonts w:hint="eastAsia" w:ascii="仿宋" w:hAnsi="仿宋" w:eastAsia="仿宋"/>
          <w:sz w:val="52"/>
          <w:szCs w:val="52"/>
        </w:rPr>
        <w:t>模型</w:t>
      </w:r>
      <w:r>
        <w:rPr>
          <w:rFonts w:ascii="仿宋" w:hAnsi="仿宋" w:eastAsia="仿宋"/>
          <w:sz w:val="52"/>
          <w:szCs w:val="52"/>
        </w:rPr>
        <w:t>_</w:t>
      </w:r>
      <w:bookmarkEnd w:id="0"/>
      <w:r>
        <w:rPr>
          <w:rFonts w:hint="eastAsia" w:ascii="仿宋" w:hAnsi="仿宋" w:eastAsia="仿宋"/>
          <w:sz w:val="52"/>
          <w:szCs w:val="52"/>
        </w:rPr>
        <w:t>应用说明</w:t>
      </w:r>
    </w:p>
    <w:p w14:paraId="6CDA26AF">
      <w:pPr>
        <w:rPr>
          <w:rFonts w:ascii="仿宋" w:hAnsi="仿宋" w:eastAsia="仿宋"/>
          <w:sz w:val="52"/>
          <w:szCs w:val="52"/>
        </w:rPr>
      </w:pPr>
    </w:p>
    <w:p w14:paraId="65FBC622">
      <w:pPr>
        <w:rPr>
          <w:rFonts w:ascii="仿宋" w:hAnsi="仿宋" w:eastAsia="仿宋"/>
          <w:sz w:val="52"/>
          <w:szCs w:val="52"/>
        </w:rPr>
      </w:pPr>
    </w:p>
    <w:p w14:paraId="7AB9B39A">
      <w:pPr>
        <w:rPr>
          <w:rFonts w:ascii="仿宋" w:hAnsi="仿宋" w:eastAsia="仿宋"/>
          <w:sz w:val="52"/>
          <w:szCs w:val="52"/>
        </w:rPr>
      </w:pPr>
    </w:p>
    <w:p w14:paraId="6A1CA3F8">
      <w:pPr>
        <w:rPr>
          <w:rFonts w:ascii="仿宋" w:hAnsi="仿宋" w:eastAsia="仿宋"/>
          <w:sz w:val="52"/>
          <w:szCs w:val="52"/>
        </w:rPr>
      </w:pPr>
    </w:p>
    <w:p w14:paraId="3CA50924">
      <w:pPr>
        <w:rPr>
          <w:rFonts w:ascii="仿宋" w:hAnsi="仿宋" w:eastAsia="仿宋"/>
          <w:sz w:val="52"/>
          <w:szCs w:val="52"/>
        </w:rPr>
      </w:pPr>
    </w:p>
    <w:p w14:paraId="12A9938D">
      <w:pPr>
        <w:jc w:val="center"/>
        <w:rPr>
          <w:rFonts w:ascii="仿宋" w:hAnsi="仿宋" w:eastAsia="仿宋"/>
          <w:sz w:val="22"/>
          <w:szCs w:val="22"/>
        </w:rPr>
      </w:pPr>
      <w:r>
        <w:rPr>
          <w:rFonts w:hint="eastAsia" w:ascii="仿宋" w:hAnsi="仿宋" w:eastAsia="仿宋"/>
          <w:sz w:val="22"/>
          <w:szCs w:val="22"/>
        </w:rPr>
        <w:t xml:space="preserve">  上海翌擎</w:t>
      </w:r>
    </w:p>
    <w:p w14:paraId="3D810FA1">
      <w:pPr>
        <w:rPr>
          <w:rFonts w:ascii="仿宋" w:hAnsi="仿宋" w:eastAsia="仿宋"/>
          <w:sz w:val="52"/>
          <w:szCs w:val="52"/>
        </w:rPr>
      </w:pPr>
    </w:p>
    <w:p w14:paraId="6EBF3156">
      <w:pPr>
        <w:rPr>
          <w:rFonts w:ascii="仿宋" w:hAnsi="仿宋" w:eastAsia="仿宋"/>
          <w:sz w:val="52"/>
          <w:szCs w:val="52"/>
        </w:rPr>
      </w:pPr>
    </w:p>
    <w:p w14:paraId="77C5E176">
      <w:pPr>
        <w:rPr>
          <w:rFonts w:ascii="仿宋" w:hAnsi="仿宋" w:eastAsia="仿宋"/>
          <w:sz w:val="52"/>
          <w:szCs w:val="52"/>
        </w:rPr>
      </w:pPr>
    </w:p>
    <w:p w14:paraId="0DA41342">
      <w:pPr>
        <w:pStyle w:val="16"/>
        <w:tabs>
          <w:tab w:val="right" w:leader="dot" w:pos="8290"/>
        </w:tabs>
        <w:rPr>
          <w:rFonts w:eastAsiaTheme="minorEastAsia"/>
          <w:b w:val="0"/>
          <w:sz w:val="21"/>
        </w:rPr>
      </w:pPr>
      <w:r>
        <w:fldChar w:fldCharType="begin"/>
      </w:r>
      <w:r>
        <w:instrText xml:space="preserve"> </w:instrText>
      </w:r>
      <w:r>
        <w:rPr>
          <w:rFonts w:hint="eastAsia"/>
        </w:rPr>
        <w:instrText xml:space="preserve">TOC \o "1-3"</w:instrText>
      </w:r>
      <w:r>
        <w:instrText xml:space="preserve"> </w:instrText>
      </w:r>
      <w:r>
        <w:rPr>
          <w:rFonts w:hint="eastAsia"/>
        </w:rPr>
        <w:instrText xml:space="preserve">\h</w:instrText>
      </w:r>
      <w:r>
        <w:fldChar w:fldCharType="separate"/>
      </w:r>
    </w:p>
    <w:p w14:paraId="2857A727">
      <w:pPr>
        <w:rPr>
          <w:rFonts w:hint="eastAsia"/>
        </w:rPr>
      </w:pPr>
      <w:r>
        <w:fldChar w:fldCharType="end"/>
      </w:r>
    </w:p>
    <w:p w14:paraId="5A1264EB">
      <w:pPr>
        <w:pStyle w:val="3"/>
        <w:numPr>
          <w:ilvl w:val="0"/>
          <w:numId w:val="1"/>
        </w:numPr>
        <w:rPr>
          <w:rFonts w:ascii="仿宋" w:hAnsi="仿宋" w:eastAsia="仿宋"/>
        </w:rPr>
      </w:pPr>
      <w:bookmarkStart w:id="1" w:name="_Toc75868476"/>
      <w:r>
        <w:rPr>
          <w:rFonts w:hint="eastAsia" w:ascii="仿宋" w:hAnsi="仿宋" w:eastAsia="仿宋"/>
        </w:rPr>
        <w:t>背景</w:t>
      </w:r>
      <w:r>
        <w:rPr>
          <w:rFonts w:ascii="仿宋" w:hAnsi="仿宋" w:eastAsia="仿宋"/>
        </w:rPr>
        <w:t>介绍</w:t>
      </w:r>
      <w:bookmarkEnd w:id="1"/>
    </w:p>
    <w:p w14:paraId="3F8ED1CE">
      <w:pPr>
        <w:ind w:firstLine="420"/>
      </w:pPr>
      <w:r>
        <w:rPr>
          <w:rFonts w:hint="eastAsia"/>
          <w:lang w:val="en-US" w:eastAsia="zh-CN"/>
        </w:rPr>
        <w:t>智能</w:t>
      </w:r>
      <w:r>
        <w:rPr>
          <w:rFonts w:hint="default"/>
          <w:lang w:val="en-US" w:eastAsia="zh-CN"/>
        </w:rPr>
        <w:t>AI</w:t>
      </w:r>
      <w:r>
        <w:rPr>
          <w:rFonts w:hint="eastAsia"/>
          <w:lang w:val="en-US" w:eastAsia="zh-CN"/>
        </w:rPr>
        <w:t>空调算法项目将会根据 不同天气</w:t>
      </w:r>
      <w:r>
        <w:rPr>
          <w:rFonts w:hint="default"/>
          <w:lang w:val="en-US" w:eastAsia="zh-CN"/>
        </w:rPr>
        <w:t>/</w:t>
      </w:r>
      <w:r>
        <w:rPr>
          <w:rFonts w:hint="eastAsia"/>
          <w:lang w:val="en-US" w:eastAsia="zh-CN"/>
        </w:rPr>
        <w:t>用户</w:t>
      </w:r>
      <w:r>
        <w:rPr>
          <w:rFonts w:hint="default"/>
          <w:lang w:val="en-US" w:eastAsia="zh-CN"/>
        </w:rPr>
        <w:t>/</w:t>
      </w:r>
      <w:r>
        <w:rPr>
          <w:rFonts w:hint="eastAsia"/>
          <w:lang w:val="en-US" w:eastAsia="zh-CN"/>
        </w:rPr>
        <w:t>驾驶习惯</w:t>
      </w:r>
      <w:r>
        <w:rPr>
          <w:rFonts w:hint="default"/>
          <w:lang w:val="en-US" w:eastAsia="zh-CN"/>
        </w:rPr>
        <w:t>/</w:t>
      </w:r>
      <w:r>
        <w:rPr>
          <w:rFonts w:hint="eastAsia"/>
          <w:lang w:val="en-US" w:eastAsia="zh-CN"/>
        </w:rPr>
        <w:t>空调设置偏好来智能化适应参数变化，自动调节空 调的温度</w:t>
      </w:r>
      <w:r>
        <w:rPr>
          <w:rFonts w:hint="default"/>
          <w:lang w:val="en-US" w:eastAsia="zh-CN"/>
        </w:rPr>
        <w:t>/</w:t>
      </w:r>
      <w:r>
        <w:rPr>
          <w:rFonts w:hint="eastAsia"/>
          <w:lang w:val="en-US" w:eastAsia="zh-CN"/>
        </w:rPr>
        <w:t>风量</w:t>
      </w:r>
      <w:r>
        <w:rPr>
          <w:rFonts w:hint="default"/>
          <w:lang w:val="en-US" w:eastAsia="zh-CN"/>
        </w:rPr>
        <w:t>/</w:t>
      </w:r>
      <w:r>
        <w:rPr>
          <w:rFonts w:hint="eastAsia"/>
          <w:lang w:val="en-US" w:eastAsia="zh-CN"/>
        </w:rPr>
        <w:t>模式调整到用户舒适的状态。通过学习用户的空调设置偏好，作为预测依据进行空调设置的预测和识别，进行算法的调优，智能空调项目设想通过数据模型，提前感知用户对空调的各项设置动作，通过智能算法，最终可实现空调自适应，自调优，优化用户体验。</w:t>
      </w:r>
    </w:p>
    <w:p w14:paraId="5491F5C4">
      <w:pPr>
        <w:pStyle w:val="3"/>
        <w:numPr>
          <w:ilvl w:val="0"/>
          <w:numId w:val="1"/>
        </w:numPr>
        <w:rPr>
          <w:rFonts w:ascii="仿宋" w:hAnsi="仿宋" w:eastAsia="仿宋"/>
        </w:rPr>
      </w:pPr>
      <w:bookmarkStart w:id="2" w:name="_Toc75868477"/>
      <w:r>
        <w:rPr>
          <w:rFonts w:hint="eastAsia" w:ascii="仿宋" w:hAnsi="仿宋" w:eastAsia="仿宋"/>
        </w:rPr>
        <w:t>文档编写目标</w:t>
      </w:r>
      <w:bookmarkEnd w:id="2"/>
    </w:p>
    <w:p w14:paraId="7E8E419B">
      <w:pPr>
        <w:ind w:firstLine="420"/>
        <w:rPr>
          <w:rFonts w:hint="eastAsia"/>
          <w:lang w:val="en-US" w:eastAsia="zh-CN"/>
        </w:rPr>
      </w:pPr>
      <w:r>
        <w:rPr>
          <w:rFonts w:hint="eastAsia"/>
          <w:lang w:val="en-US" w:eastAsia="zh-CN"/>
        </w:rPr>
        <w:t>本次文档编写的目标主要有以下几个方面：</w:t>
      </w:r>
    </w:p>
    <w:p w14:paraId="56C98025">
      <w:pPr>
        <w:ind w:firstLine="420"/>
        <w:rPr>
          <w:rFonts w:hint="eastAsia"/>
          <w:lang w:val="en-US" w:eastAsia="zh-CN"/>
        </w:rPr>
      </w:pPr>
      <w:r>
        <w:rPr>
          <w:rFonts w:hint="eastAsia"/>
          <w:lang w:val="en-US" w:eastAsia="zh-CN"/>
        </w:rPr>
        <w:t>1.信息传递：确保文档能够清晰、准确地传递必要的信息给目标读者。</w:t>
      </w:r>
    </w:p>
    <w:p w14:paraId="53291503">
      <w:pPr>
        <w:ind w:firstLine="420"/>
        <w:rPr>
          <w:rFonts w:hint="eastAsia"/>
          <w:lang w:val="en-US" w:eastAsia="zh-CN"/>
        </w:rPr>
      </w:pPr>
      <w:r>
        <w:rPr>
          <w:rFonts w:hint="eastAsia"/>
          <w:lang w:val="en-US" w:eastAsia="zh-CN"/>
        </w:rPr>
        <w:t>2.指导操作：提供详细的模型步骤和指南，帮助用户完成特定的任务或操作。</w:t>
      </w:r>
    </w:p>
    <w:p w14:paraId="01347AB3">
      <w:pPr>
        <w:ind w:firstLine="420"/>
        <w:rPr>
          <w:rFonts w:hint="eastAsia"/>
          <w:lang w:val="en-US" w:eastAsia="zh-CN"/>
        </w:rPr>
      </w:pPr>
      <w:r>
        <w:rPr>
          <w:rFonts w:hint="eastAsia"/>
          <w:lang w:val="en-US" w:eastAsia="zh-CN"/>
        </w:rPr>
        <w:t>3.技术支持： 提供技术支持信息，帮助用户解决技术问题。</w:t>
      </w:r>
    </w:p>
    <w:p w14:paraId="3AF83295">
      <w:pPr>
        <w:pStyle w:val="3"/>
        <w:numPr>
          <w:ilvl w:val="0"/>
          <w:numId w:val="1"/>
        </w:numPr>
        <w:rPr>
          <w:rFonts w:hint="eastAsia" w:ascii="仿宋" w:hAnsi="仿宋" w:eastAsia="仿宋"/>
        </w:rPr>
      </w:pPr>
      <w:r>
        <w:rPr>
          <w:rFonts w:hint="eastAsia" w:ascii="仿宋" w:hAnsi="仿宋" w:eastAsia="仿宋"/>
        </w:rPr>
        <w:t>售后支持</w:t>
      </w:r>
    </w:p>
    <w:p w14:paraId="1F60B408">
      <w:pPr>
        <w:ind w:firstLine="420"/>
        <w:rPr>
          <w:rFonts w:hint="eastAsia"/>
          <w:lang w:val="en-US" w:eastAsia="zh-CN"/>
        </w:rPr>
      </w:pPr>
      <w:r>
        <w:rPr>
          <w:rFonts w:hint="eastAsia"/>
          <w:lang w:val="en-US" w:eastAsia="zh-CN"/>
        </w:rPr>
        <w:t>智能空调模型产品的售后支持条款是确保用户在使用算法模型产品过程中能够获得及时、有效的技术支持和服务保障的重要文件。以下是智能空调模型产品售后支持条款</w:t>
      </w:r>
    </w:p>
    <w:p w14:paraId="546AD445">
      <w:pPr>
        <w:pStyle w:val="5"/>
        <w:spacing w:before="210" w:beforeAutospacing="0" w:after="120" w:afterAutospacing="0"/>
        <w:rPr>
          <w:rFonts w:cs="Segoe UI"/>
          <w:color w:val="000000" w:themeColor="text1"/>
          <w:sz w:val="27"/>
          <w:szCs w:val="27"/>
          <w14:textFill>
            <w14:solidFill>
              <w14:schemeClr w14:val="tx1"/>
            </w14:solidFill>
          </w14:textFill>
        </w:rPr>
      </w:pPr>
      <w:r>
        <w:rPr>
          <w:rFonts w:cs="Segoe UI"/>
          <w:color w:val="000000" w:themeColor="text1"/>
          <w:sz w:val="27"/>
          <w:szCs w:val="27"/>
          <w14:textFill>
            <w14:solidFill>
              <w14:schemeClr w14:val="tx1"/>
            </w14:solidFill>
          </w14:textFill>
        </w:rPr>
        <w:t>一、服务范围</w:t>
      </w:r>
    </w:p>
    <w:p w14:paraId="215E4923">
      <w:pPr>
        <w:numPr>
          <w:ilvl w:val="0"/>
          <w:numId w:val="2"/>
        </w:numPr>
        <w:rPr>
          <w:rFonts w:cs="Segoe UI"/>
          <w:color w:val="000000" w:themeColor="text1"/>
          <w:sz w:val="23"/>
          <w:szCs w:val="23"/>
          <w14:textFill>
            <w14:solidFill>
              <w14:schemeClr w14:val="tx1"/>
            </w14:solidFill>
          </w14:textFill>
        </w:rPr>
      </w:pPr>
      <w:r>
        <w:rPr>
          <w:rStyle w:val="27"/>
          <w:rFonts w:hint="eastAsia" w:cs="微软雅黑"/>
          <w:color w:val="000000" w:themeColor="text1"/>
          <w:sz w:val="23"/>
          <w:szCs w:val="23"/>
          <w14:textFill>
            <w14:solidFill>
              <w14:schemeClr w14:val="tx1"/>
            </w14:solidFill>
          </w14:textFill>
        </w:rPr>
        <w:t>技术支持</w:t>
      </w:r>
      <w:r>
        <w:rPr>
          <w:rFonts w:hint="eastAsia" w:cs="Segoe UI"/>
          <w:color w:val="000000" w:themeColor="text1"/>
          <w:sz w:val="23"/>
          <w:szCs w:val="23"/>
          <w14:textFill>
            <w14:solidFill>
              <w14:schemeClr w14:val="tx1"/>
            </w14:solidFill>
          </w14:textFill>
        </w:rPr>
        <w:t>：提供</w:t>
      </w:r>
      <w:r>
        <w:rPr>
          <w:rFonts w:hint="eastAsia" w:cs="Segoe UI"/>
          <w:color w:val="000000" w:themeColor="text1"/>
          <w:sz w:val="23"/>
          <w:szCs w:val="23"/>
          <w:lang w:val="en-US" w:eastAsia="zh-CN"/>
          <w14:textFill>
            <w14:solidFill>
              <w14:schemeClr w14:val="tx1"/>
            </w14:solidFill>
          </w14:textFill>
        </w:rPr>
        <w:t>智能空调</w:t>
      </w:r>
      <w:r>
        <w:rPr>
          <w:rFonts w:hint="eastAsia" w:cs="Segoe UI"/>
          <w:color w:val="000000" w:themeColor="text1"/>
          <w:sz w:val="23"/>
          <w:szCs w:val="23"/>
          <w14:textFill>
            <w14:solidFill>
              <w14:schemeClr w14:val="tx1"/>
            </w14:solidFill>
          </w14:textFill>
        </w:rPr>
        <w:t>模型产品的技术咨询、问题解答、故障排除等技术支持服务。</w:t>
      </w:r>
    </w:p>
    <w:p w14:paraId="39289709">
      <w:pPr>
        <w:numPr>
          <w:ilvl w:val="0"/>
          <w:numId w:val="2"/>
        </w:numPr>
        <w:rPr>
          <w:rFonts w:hint="eastAsia" w:cs="Segoe UI"/>
          <w:color w:val="000000" w:themeColor="text1"/>
          <w:sz w:val="23"/>
          <w:szCs w:val="23"/>
          <w14:textFill>
            <w14:solidFill>
              <w14:schemeClr w14:val="tx1"/>
            </w14:solidFill>
          </w14:textFill>
        </w:rPr>
      </w:pPr>
      <w:r>
        <w:rPr>
          <w:rStyle w:val="27"/>
          <w:rFonts w:hint="eastAsia" w:cs="微软雅黑"/>
          <w:color w:val="000000" w:themeColor="text1"/>
          <w:sz w:val="23"/>
          <w:szCs w:val="23"/>
          <w14:textFill>
            <w14:solidFill>
              <w14:schemeClr w14:val="tx1"/>
            </w14:solidFill>
          </w14:textFill>
        </w:rPr>
        <w:t>培训服务</w:t>
      </w:r>
      <w:r>
        <w:rPr>
          <w:rFonts w:hint="eastAsia" w:cs="Segoe UI"/>
          <w:color w:val="000000" w:themeColor="text1"/>
          <w:sz w:val="23"/>
          <w:szCs w:val="23"/>
          <w14:textFill>
            <w14:solidFill>
              <w14:schemeClr w14:val="tx1"/>
            </w14:solidFill>
          </w14:textFill>
        </w:rPr>
        <w:t>：为用户提供</w:t>
      </w:r>
      <w:r>
        <w:rPr>
          <w:rFonts w:hint="eastAsia" w:cs="Segoe UI"/>
          <w:color w:val="000000" w:themeColor="text1"/>
          <w:sz w:val="23"/>
          <w:szCs w:val="23"/>
          <w:lang w:val="en-US" w:eastAsia="zh-CN"/>
          <w14:textFill>
            <w14:solidFill>
              <w14:schemeClr w14:val="tx1"/>
            </w14:solidFill>
          </w14:textFill>
        </w:rPr>
        <w:t>智能空调</w:t>
      </w:r>
      <w:r>
        <w:rPr>
          <w:rFonts w:hint="eastAsia" w:cs="Segoe UI"/>
          <w:color w:val="000000" w:themeColor="text1"/>
          <w:sz w:val="23"/>
          <w:szCs w:val="23"/>
          <w14:textFill>
            <w14:solidFill>
              <w14:schemeClr w14:val="tx1"/>
            </w14:solidFill>
          </w14:textFill>
        </w:rPr>
        <w:t>模型产品的使用培训、操作指导等，确保用户能够熟练使用产品。</w:t>
      </w:r>
    </w:p>
    <w:p w14:paraId="65370D82">
      <w:pPr>
        <w:numPr>
          <w:ilvl w:val="0"/>
          <w:numId w:val="2"/>
        </w:numPr>
        <w:rPr>
          <w:rFonts w:hint="eastAsia" w:cs="Segoe UI"/>
          <w:color w:val="000000" w:themeColor="text1"/>
          <w:sz w:val="23"/>
          <w:szCs w:val="23"/>
          <w14:textFill>
            <w14:solidFill>
              <w14:schemeClr w14:val="tx1"/>
            </w14:solidFill>
          </w14:textFill>
        </w:rPr>
      </w:pPr>
      <w:r>
        <w:rPr>
          <w:rStyle w:val="27"/>
          <w:rFonts w:hint="eastAsia" w:cs="微软雅黑"/>
          <w:color w:val="000000" w:themeColor="text1"/>
          <w:sz w:val="23"/>
          <w:szCs w:val="23"/>
          <w14:textFill>
            <w14:solidFill>
              <w14:schemeClr w14:val="tx1"/>
            </w14:solidFill>
          </w14:textFill>
        </w:rPr>
        <w:t>升级与维护</w:t>
      </w:r>
      <w:r>
        <w:rPr>
          <w:rFonts w:hint="eastAsia" w:cs="Segoe UI"/>
          <w:color w:val="000000" w:themeColor="text1"/>
          <w:sz w:val="23"/>
          <w:szCs w:val="23"/>
          <w14:textFill>
            <w14:solidFill>
              <w14:schemeClr w14:val="tx1"/>
            </w14:solidFill>
          </w14:textFill>
        </w:rPr>
        <w:t>：根据产品更新情况，为用户提供</w:t>
      </w:r>
      <w:r>
        <w:rPr>
          <w:rFonts w:hint="eastAsia" w:cs="Segoe UI"/>
          <w:color w:val="000000" w:themeColor="text1"/>
          <w:sz w:val="23"/>
          <w:szCs w:val="23"/>
          <w:lang w:val="en-US" w:eastAsia="zh-CN"/>
          <w14:textFill>
            <w14:solidFill>
              <w14:schemeClr w14:val="tx1"/>
            </w14:solidFill>
          </w14:textFill>
        </w:rPr>
        <w:t>智能空调</w:t>
      </w:r>
      <w:r>
        <w:rPr>
          <w:rFonts w:hint="eastAsia" w:cs="Segoe UI"/>
          <w:color w:val="000000" w:themeColor="text1"/>
          <w:sz w:val="23"/>
          <w:szCs w:val="23"/>
          <w14:textFill>
            <w14:solidFill>
              <w14:schemeClr w14:val="tx1"/>
            </w14:solidFill>
          </w14:textFill>
        </w:rPr>
        <w:t>模型产品的升级服务，以及必要的维护服务。</w:t>
      </w:r>
    </w:p>
    <w:p w14:paraId="0C0E1AE2">
      <w:pPr>
        <w:pStyle w:val="5"/>
        <w:spacing w:before="210" w:beforeAutospacing="0" w:after="120" w:afterAutospacing="0"/>
        <w:rPr>
          <w:rFonts w:cs="Segoe UI"/>
          <w:color w:val="000000" w:themeColor="text1"/>
          <w:sz w:val="27"/>
          <w:szCs w:val="27"/>
          <w14:textFill>
            <w14:solidFill>
              <w14:schemeClr w14:val="tx1"/>
            </w14:solidFill>
          </w14:textFill>
        </w:rPr>
      </w:pPr>
      <w:r>
        <w:rPr>
          <w:rFonts w:cs="Segoe UI"/>
          <w:color w:val="000000" w:themeColor="text1"/>
          <w:sz w:val="27"/>
          <w:szCs w:val="27"/>
          <w14:textFill>
            <w14:solidFill>
              <w14:schemeClr w14:val="tx1"/>
            </w14:solidFill>
          </w14:textFill>
        </w:rPr>
        <w:t>二、服务期限</w:t>
      </w:r>
    </w:p>
    <w:p w14:paraId="1429FDBC">
      <w:pPr>
        <w:numPr>
          <w:ilvl w:val="0"/>
          <w:numId w:val="3"/>
        </w:numPr>
        <w:rPr>
          <w:rFonts w:cs="Segoe UI"/>
          <w:color w:val="000000" w:themeColor="text1"/>
          <w:sz w:val="23"/>
          <w:szCs w:val="23"/>
          <w14:textFill>
            <w14:solidFill>
              <w14:schemeClr w14:val="tx1"/>
            </w14:solidFill>
          </w14:textFill>
        </w:rPr>
      </w:pPr>
      <w:r>
        <w:rPr>
          <w:rStyle w:val="27"/>
          <w:rFonts w:hint="eastAsia" w:cs="微软雅黑"/>
          <w:color w:val="000000" w:themeColor="text1"/>
          <w:sz w:val="23"/>
          <w:szCs w:val="23"/>
          <w14:textFill>
            <w14:solidFill>
              <w14:schemeClr w14:val="tx1"/>
            </w14:solidFill>
          </w14:textFill>
        </w:rPr>
        <w:t>服务有效期</w:t>
      </w:r>
      <w:r>
        <w:rPr>
          <w:rFonts w:hint="eastAsia" w:cs="Segoe UI"/>
          <w:color w:val="000000" w:themeColor="text1"/>
          <w:sz w:val="23"/>
          <w:szCs w:val="23"/>
          <w14:textFill>
            <w14:solidFill>
              <w14:schemeClr w14:val="tx1"/>
            </w14:solidFill>
          </w14:textFill>
        </w:rPr>
        <w:t>：本售后支持条款自用户购买</w:t>
      </w:r>
      <w:r>
        <w:rPr>
          <w:rFonts w:hint="eastAsia" w:cs="Segoe UI"/>
          <w:color w:val="000000" w:themeColor="text1"/>
          <w:sz w:val="23"/>
          <w:szCs w:val="23"/>
          <w:lang w:val="en-US" w:eastAsia="zh-CN"/>
          <w14:textFill>
            <w14:solidFill>
              <w14:schemeClr w14:val="tx1"/>
            </w14:solidFill>
          </w14:textFill>
        </w:rPr>
        <w:t>智能空调</w:t>
      </w:r>
      <w:r>
        <w:rPr>
          <w:rFonts w:hint="eastAsia" w:cs="Segoe UI"/>
          <w:color w:val="000000" w:themeColor="text1"/>
          <w:sz w:val="23"/>
          <w:szCs w:val="23"/>
          <w14:textFill>
            <w14:solidFill>
              <w14:schemeClr w14:val="tx1"/>
            </w14:solidFill>
          </w14:textFill>
        </w:rPr>
        <w:t>模型产品之日起生效，有效期为</w:t>
      </w:r>
      <w:r>
        <w:rPr>
          <w:rFonts w:hint="eastAsia" w:cs="Segoe UI"/>
          <w:b/>
          <w:bCs/>
          <w:color w:val="000000" w:themeColor="text1"/>
          <w:sz w:val="23"/>
          <w:szCs w:val="23"/>
          <w14:textFill>
            <w14:solidFill>
              <w14:schemeClr w14:val="tx1"/>
            </w14:solidFill>
          </w14:textFill>
        </w:rPr>
        <w:t>产品购买后的一年时间。</w:t>
      </w:r>
    </w:p>
    <w:p w14:paraId="29F7E087">
      <w:pPr>
        <w:numPr>
          <w:ilvl w:val="0"/>
          <w:numId w:val="3"/>
        </w:numPr>
        <w:rPr>
          <w:rFonts w:hint="eastAsia" w:cs="Segoe UI"/>
          <w:color w:val="000000" w:themeColor="text1"/>
          <w:sz w:val="23"/>
          <w:szCs w:val="23"/>
          <w14:textFill>
            <w14:solidFill>
              <w14:schemeClr w14:val="tx1"/>
            </w14:solidFill>
          </w14:textFill>
        </w:rPr>
      </w:pPr>
      <w:r>
        <w:rPr>
          <w:rStyle w:val="27"/>
          <w:rFonts w:hint="eastAsia" w:cs="微软雅黑"/>
          <w:color w:val="000000" w:themeColor="text1"/>
          <w:sz w:val="23"/>
          <w:szCs w:val="23"/>
          <w14:textFill>
            <w14:solidFill>
              <w14:schemeClr w14:val="tx1"/>
            </w14:solidFill>
          </w14:textFill>
        </w:rPr>
        <w:t>续签与延期</w:t>
      </w:r>
      <w:r>
        <w:rPr>
          <w:rFonts w:hint="eastAsia" w:cs="Segoe UI"/>
          <w:color w:val="000000" w:themeColor="text1"/>
          <w:sz w:val="23"/>
          <w:szCs w:val="23"/>
          <w14:textFill>
            <w14:solidFill>
              <w14:schemeClr w14:val="tx1"/>
            </w14:solidFill>
          </w14:textFill>
        </w:rPr>
        <w:t>：服务期限届满后，用户可根据需要选择续签或延期服务，具体费用及条款以双方协商为准。</w:t>
      </w:r>
    </w:p>
    <w:p w14:paraId="256D5C9B">
      <w:pPr>
        <w:pStyle w:val="5"/>
        <w:spacing w:before="210" w:beforeAutospacing="0" w:after="120" w:afterAutospacing="0"/>
        <w:rPr>
          <w:rFonts w:cs="Segoe UI"/>
          <w:color w:val="000000" w:themeColor="text1"/>
          <w:sz w:val="27"/>
          <w:szCs w:val="27"/>
          <w14:textFill>
            <w14:solidFill>
              <w14:schemeClr w14:val="tx1"/>
            </w14:solidFill>
          </w14:textFill>
        </w:rPr>
      </w:pPr>
      <w:r>
        <w:rPr>
          <w:rFonts w:cs="Segoe UI"/>
          <w:color w:val="000000" w:themeColor="text1"/>
          <w:sz w:val="27"/>
          <w:szCs w:val="27"/>
          <w14:textFill>
            <w14:solidFill>
              <w14:schemeClr w14:val="tx1"/>
            </w14:solidFill>
          </w14:textFill>
        </w:rPr>
        <w:t>三、服务响应与处理</w:t>
      </w:r>
    </w:p>
    <w:p w14:paraId="6F867DAC">
      <w:pPr>
        <w:numPr>
          <w:ilvl w:val="0"/>
          <w:numId w:val="4"/>
        </w:numPr>
        <w:rPr>
          <w:rFonts w:cs="Segoe UI"/>
          <w:color w:val="000000" w:themeColor="text1"/>
          <w:sz w:val="23"/>
          <w:szCs w:val="23"/>
          <w14:textFill>
            <w14:solidFill>
              <w14:schemeClr w14:val="tx1"/>
            </w14:solidFill>
          </w14:textFill>
        </w:rPr>
      </w:pPr>
      <w:r>
        <w:rPr>
          <w:rStyle w:val="27"/>
          <w:rFonts w:hint="eastAsia" w:cs="微软雅黑"/>
          <w:color w:val="000000" w:themeColor="text1"/>
          <w:sz w:val="23"/>
          <w:szCs w:val="23"/>
          <w14:textFill>
            <w14:solidFill>
              <w14:schemeClr w14:val="tx1"/>
            </w14:solidFill>
          </w14:textFill>
        </w:rPr>
        <w:t>服务请求提交</w:t>
      </w:r>
      <w:r>
        <w:rPr>
          <w:rFonts w:hint="eastAsia" w:cs="Segoe UI"/>
          <w:color w:val="000000" w:themeColor="text1"/>
          <w:sz w:val="23"/>
          <w:szCs w:val="23"/>
          <w14:textFill>
            <w14:solidFill>
              <w14:schemeClr w14:val="tx1"/>
            </w14:solidFill>
          </w14:textFill>
        </w:rPr>
        <w:t>：用户可通过</w:t>
      </w:r>
      <w:r>
        <w:rPr>
          <w:rFonts w:cs="Segoe UI"/>
          <w:color w:val="000000" w:themeColor="text1"/>
          <w:sz w:val="23"/>
          <w:szCs w:val="23"/>
          <w14:textFill>
            <w14:solidFill>
              <w14:schemeClr w14:val="tx1"/>
            </w14:solidFill>
          </w14:textFill>
        </w:rPr>
        <w:t>ai service@nx-engine.com</w:t>
      </w:r>
      <w:bookmarkStart w:id="7" w:name="_GoBack"/>
      <w:bookmarkEnd w:id="7"/>
      <w:r>
        <w:rPr>
          <w:rFonts w:hint="eastAsia" w:cs="Segoe UI"/>
          <w:color w:val="000000" w:themeColor="text1"/>
          <w:sz w:val="23"/>
          <w:szCs w:val="23"/>
          <w14:textFill>
            <w14:solidFill>
              <w14:schemeClr w14:val="tx1"/>
            </w14:solidFill>
          </w14:textFill>
        </w:rPr>
        <w:t>方式向售后服务团队提交服务请求。</w:t>
      </w:r>
    </w:p>
    <w:p w14:paraId="159027BF">
      <w:pPr>
        <w:numPr>
          <w:ilvl w:val="0"/>
          <w:numId w:val="4"/>
        </w:numPr>
        <w:rPr>
          <w:rFonts w:hint="eastAsia" w:cs="Segoe UI"/>
          <w:color w:val="000000" w:themeColor="text1"/>
          <w:sz w:val="23"/>
          <w:szCs w:val="23"/>
          <w14:textFill>
            <w14:solidFill>
              <w14:schemeClr w14:val="tx1"/>
            </w14:solidFill>
          </w14:textFill>
        </w:rPr>
      </w:pPr>
      <w:r>
        <w:rPr>
          <w:rStyle w:val="27"/>
          <w:rFonts w:hint="eastAsia" w:cs="微软雅黑"/>
          <w:color w:val="000000" w:themeColor="text1"/>
          <w:sz w:val="23"/>
          <w:szCs w:val="23"/>
          <w14:textFill>
            <w14:solidFill>
              <w14:schemeClr w14:val="tx1"/>
            </w14:solidFill>
          </w14:textFill>
        </w:rPr>
        <w:t>响应时间</w:t>
      </w:r>
      <w:r>
        <w:rPr>
          <w:rFonts w:hint="eastAsia" w:cs="Segoe UI"/>
          <w:color w:val="000000" w:themeColor="text1"/>
          <w:sz w:val="23"/>
          <w:szCs w:val="23"/>
          <w14:textFill>
            <w14:solidFill>
              <w14:schemeClr w14:val="tx1"/>
            </w14:solidFill>
          </w14:textFill>
        </w:rPr>
        <w:t>：售后服务团队在接到用户服务请求后，应在约定时间内</w:t>
      </w:r>
      <w:r>
        <w:rPr>
          <w:rFonts w:cs="Segoe UI"/>
          <w:color w:val="000000" w:themeColor="text1"/>
          <w:sz w:val="23"/>
          <w:szCs w:val="23"/>
          <w14:textFill>
            <w14:solidFill>
              <w14:schemeClr w14:val="tx1"/>
            </w14:solidFill>
          </w14:textFill>
        </w:rPr>
        <w:t>24</w:t>
      </w:r>
      <w:r>
        <w:rPr>
          <w:rFonts w:hint="eastAsia" w:cs="Segoe UI"/>
          <w:color w:val="000000" w:themeColor="text1"/>
          <w:sz w:val="23"/>
          <w:szCs w:val="23"/>
          <w14:textFill>
            <w14:solidFill>
              <w14:schemeClr w14:val="tx1"/>
            </w14:solidFill>
          </w14:textFill>
        </w:rPr>
        <w:t>小时内给予响应，并根据情况提供相应的解决方案或处理建议。</w:t>
      </w:r>
    </w:p>
    <w:p w14:paraId="56519264">
      <w:pPr>
        <w:numPr>
          <w:ilvl w:val="0"/>
          <w:numId w:val="4"/>
        </w:numPr>
        <w:rPr>
          <w:rFonts w:hint="eastAsia" w:cs="Segoe UI"/>
          <w:color w:val="000000" w:themeColor="text1"/>
          <w:sz w:val="23"/>
          <w:szCs w:val="23"/>
          <w14:textFill>
            <w14:solidFill>
              <w14:schemeClr w14:val="tx1"/>
            </w14:solidFill>
          </w14:textFill>
        </w:rPr>
      </w:pPr>
      <w:r>
        <w:rPr>
          <w:rStyle w:val="27"/>
          <w:rFonts w:hint="eastAsia" w:cs="微软雅黑"/>
          <w:color w:val="000000" w:themeColor="text1"/>
          <w:sz w:val="23"/>
          <w:szCs w:val="23"/>
          <w14:textFill>
            <w14:solidFill>
              <w14:schemeClr w14:val="tx1"/>
            </w14:solidFill>
          </w14:textFill>
        </w:rPr>
        <w:t>处理流程</w:t>
      </w:r>
      <w:r>
        <w:rPr>
          <w:rFonts w:hint="eastAsia" w:cs="Segoe UI"/>
          <w:color w:val="000000" w:themeColor="text1"/>
          <w:sz w:val="23"/>
          <w:szCs w:val="23"/>
          <w14:textFill>
            <w14:solidFill>
              <w14:schemeClr w14:val="tx1"/>
            </w14:solidFill>
          </w14:textFill>
        </w:rPr>
        <w:t>：售后服务团队将按照约定的处理流程，对用户提出的问题或需求进行逐一处理，确保问题得到及时解决。</w:t>
      </w:r>
    </w:p>
    <w:p w14:paraId="1269F586">
      <w:pPr>
        <w:pStyle w:val="5"/>
        <w:spacing w:before="210" w:beforeAutospacing="0" w:after="120" w:afterAutospacing="0"/>
        <w:rPr>
          <w:rFonts w:cs="Segoe UI"/>
          <w:color w:val="000000" w:themeColor="text1"/>
          <w:sz w:val="27"/>
          <w:szCs w:val="27"/>
          <w14:textFill>
            <w14:solidFill>
              <w14:schemeClr w14:val="tx1"/>
            </w14:solidFill>
          </w14:textFill>
        </w:rPr>
      </w:pPr>
      <w:r>
        <w:rPr>
          <w:rFonts w:cs="Segoe UI"/>
          <w:color w:val="000000" w:themeColor="text1"/>
          <w:sz w:val="27"/>
          <w:szCs w:val="27"/>
          <w14:textFill>
            <w14:solidFill>
              <w14:schemeClr w14:val="tx1"/>
            </w14:solidFill>
          </w14:textFill>
        </w:rPr>
        <w:t>四、备件与替换</w:t>
      </w:r>
    </w:p>
    <w:p w14:paraId="05FCDE70">
      <w:pPr>
        <w:numPr>
          <w:ilvl w:val="0"/>
          <w:numId w:val="5"/>
        </w:numPr>
        <w:rPr>
          <w:rFonts w:cs="Segoe UI"/>
          <w:color w:val="000000" w:themeColor="text1"/>
          <w:sz w:val="23"/>
          <w:szCs w:val="23"/>
          <w14:textFill>
            <w14:solidFill>
              <w14:schemeClr w14:val="tx1"/>
            </w14:solidFill>
          </w14:textFill>
        </w:rPr>
      </w:pPr>
      <w:r>
        <w:rPr>
          <w:rStyle w:val="27"/>
          <w:rFonts w:hint="eastAsia" w:cs="微软雅黑"/>
          <w:color w:val="000000" w:themeColor="text1"/>
          <w:sz w:val="23"/>
          <w:szCs w:val="23"/>
          <w14:textFill>
            <w14:solidFill>
              <w14:schemeClr w14:val="tx1"/>
            </w14:solidFill>
          </w14:textFill>
        </w:rPr>
        <w:t>备件提供</w:t>
      </w:r>
      <w:r>
        <w:rPr>
          <w:rFonts w:hint="eastAsia" w:cs="Segoe UI"/>
          <w:color w:val="000000" w:themeColor="text1"/>
          <w:sz w:val="23"/>
          <w:szCs w:val="23"/>
          <w14:textFill>
            <w14:solidFill>
              <w14:schemeClr w14:val="tx1"/>
            </w14:solidFill>
          </w14:textFill>
        </w:rPr>
        <w:t>：在</w:t>
      </w:r>
      <w:r>
        <w:rPr>
          <w:rFonts w:hint="eastAsia" w:cs="Segoe UI"/>
          <w:color w:val="000000" w:themeColor="text1"/>
          <w:sz w:val="23"/>
          <w:szCs w:val="23"/>
          <w:lang w:val="en-US" w:eastAsia="zh-CN"/>
          <w14:textFill>
            <w14:solidFill>
              <w14:schemeClr w14:val="tx1"/>
            </w14:solidFill>
          </w14:textFill>
        </w:rPr>
        <w:t>智能空调</w:t>
      </w:r>
      <w:r>
        <w:rPr>
          <w:rFonts w:hint="eastAsia" w:cs="Segoe UI"/>
          <w:color w:val="000000" w:themeColor="text1"/>
          <w:sz w:val="23"/>
          <w:szCs w:val="23"/>
          <w14:textFill>
            <w14:solidFill>
              <w14:schemeClr w14:val="tx1"/>
            </w14:solidFill>
          </w14:textFill>
        </w:rPr>
        <w:t>模型产品出现故障且无法修复时，售后服务团队将根据实际情况为用户提供备用模型替换服务。</w:t>
      </w:r>
    </w:p>
    <w:p w14:paraId="50EE3079">
      <w:pPr>
        <w:numPr>
          <w:ilvl w:val="0"/>
          <w:numId w:val="5"/>
        </w:numPr>
        <w:rPr>
          <w:rFonts w:hint="eastAsia" w:cs="Segoe UI"/>
          <w:color w:val="000000" w:themeColor="text1"/>
          <w:sz w:val="23"/>
          <w:szCs w:val="23"/>
          <w14:textFill>
            <w14:solidFill>
              <w14:schemeClr w14:val="tx1"/>
            </w14:solidFill>
          </w14:textFill>
        </w:rPr>
      </w:pPr>
      <w:r>
        <w:rPr>
          <w:rStyle w:val="27"/>
          <w:rFonts w:hint="eastAsia" w:cs="微软雅黑"/>
          <w:color w:val="000000" w:themeColor="text1"/>
          <w:sz w:val="23"/>
          <w:szCs w:val="23"/>
          <w14:textFill>
            <w14:solidFill>
              <w14:schemeClr w14:val="tx1"/>
            </w14:solidFill>
          </w14:textFill>
        </w:rPr>
        <w:t>替换条件</w:t>
      </w:r>
      <w:r>
        <w:rPr>
          <w:rFonts w:hint="eastAsia" w:cs="Segoe UI"/>
          <w:color w:val="000000" w:themeColor="text1"/>
          <w:sz w:val="23"/>
          <w:szCs w:val="23"/>
          <w14:textFill>
            <w14:solidFill>
              <w14:schemeClr w14:val="tx1"/>
            </w14:solidFill>
          </w14:textFill>
        </w:rPr>
        <w:t>：备用模型替换需符合产品保修条款及双方协商的替换条件。</w:t>
      </w:r>
    </w:p>
    <w:p w14:paraId="5CC67E3A">
      <w:pPr>
        <w:pStyle w:val="5"/>
        <w:spacing w:before="210" w:beforeAutospacing="0" w:after="120" w:afterAutospacing="0"/>
        <w:rPr>
          <w:rFonts w:cs="Segoe UI"/>
          <w:color w:val="000000" w:themeColor="text1"/>
          <w:sz w:val="27"/>
          <w:szCs w:val="27"/>
          <w14:textFill>
            <w14:solidFill>
              <w14:schemeClr w14:val="tx1"/>
            </w14:solidFill>
          </w14:textFill>
        </w:rPr>
      </w:pPr>
      <w:r>
        <w:rPr>
          <w:rFonts w:cs="Segoe UI"/>
          <w:color w:val="000000" w:themeColor="text1"/>
          <w:sz w:val="27"/>
          <w:szCs w:val="27"/>
          <w14:textFill>
            <w14:solidFill>
              <w14:schemeClr w14:val="tx1"/>
            </w14:solidFill>
          </w14:textFill>
        </w:rPr>
        <w:t>五、保修与免责</w:t>
      </w:r>
    </w:p>
    <w:p w14:paraId="45E562F8">
      <w:pPr>
        <w:numPr>
          <w:ilvl w:val="0"/>
          <w:numId w:val="6"/>
        </w:numPr>
        <w:rPr>
          <w:rFonts w:cs="Segoe UI"/>
          <w:color w:val="000000" w:themeColor="text1"/>
          <w:sz w:val="23"/>
          <w:szCs w:val="23"/>
          <w14:textFill>
            <w14:solidFill>
              <w14:schemeClr w14:val="tx1"/>
            </w14:solidFill>
          </w14:textFill>
        </w:rPr>
      </w:pPr>
      <w:r>
        <w:rPr>
          <w:rStyle w:val="27"/>
          <w:rFonts w:hint="eastAsia" w:cs="微软雅黑"/>
          <w:color w:val="000000" w:themeColor="text1"/>
          <w:sz w:val="23"/>
          <w:szCs w:val="23"/>
          <w14:textFill>
            <w14:solidFill>
              <w14:schemeClr w14:val="tx1"/>
            </w14:solidFill>
          </w14:textFill>
        </w:rPr>
        <w:t>保修范围</w:t>
      </w:r>
      <w:r>
        <w:rPr>
          <w:rFonts w:hint="eastAsia" w:cs="Segoe UI"/>
          <w:color w:val="000000" w:themeColor="text1"/>
          <w:sz w:val="23"/>
          <w:szCs w:val="23"/>
          <w14:textFill>
            <w14:solidFill>
              <w14:schemeClr w14:val="tx1"/>
            </w14:solidFill>
          </w14:textFill>
        </w:rPr>
        <w:t>：</w:t>
      </w:r>
      <w:r>
        <w:rPr>
          <w:rFonts w:hint="eastAsia" w:cs="Segoe UI"/>
          <w:color w:val="000000" w:themeColor="text1"/>
          <w:sz w:val="23"/>
          <w:szCs w:val="23"/>
          <w:lang w:val="en-US" w:eastAsia="zh-CN"/>
          <w14:textFill>
            <w14:solidFill>
              <w14:schemeClr w14:val="tx1"/>
            </w14:solidFill>
          </w14:textFill>
        </w:rPr>
        <w:t>智能空调</w:t>
      </w:r>
      <w:r>
        <w:rPr>
          <w:rFonts w:hint="eastAsia" w:cs="Segoe UI"/>
          <w:color w:val="000000" w:themeColor="text1"/>
          <w:sz w:val="23"/>
          <w:szCs w:val="23"/>
          <w14:textFill>
            <w14:solidFill>
              <w14:schemeClr w14:val="tx1"/>
            </w14:solidFill>
          </w14:textFill>
        </w:rPr>
        <w:t>模型产品在正常使用情况下出现的故障，且非因用户不当使用或第三方因素导致的损坏，属于保修范围。</w:t>
      </w:r>
    </w:p>
    <w:p w14:paraId="0C128D27">
      <w:pPr>
        <w:numPr>
          <w:ilvl w:val="0"/>
          <w:numId w:val="6"/>
        </w:numPr>
        <w:rPr>
          <w:rFonts w:hint="eastAsia" w:cs="Segoe UI"/>
          <w:color w:val="000000" w:themeColor="text1"/>
          <w:sz w:val="23"/>
          <w:szCs w:val="23"/>
          <w14:textFill>
            <w14:solidFill>
              <w14:schemeClr w14:val="tx1"/>
            </w14:solidFill>
          </w14:textFill>
        </w:rPr>
      </w:pPr>
      <w:r>
        <w:rPr>
          <w:rStyle w:val="27"/>
          <w:rFonts w:hint="eastAsia" w:cs="微软雅黑"/>
          <w:color w:val="000000" w:themeColor="text1"/>
          <w:sz w:val="23"/>
          <w:szCs w:val="23"/>
          <w14:textFill>
            <w14:solidFill>
              <w14:schemeClr w14:val="tx1"/>
            </w14:solidFill>
          </w14:textFill>
        </w:rPr>
        <w:t>免责条款</w:t>
      </w:r>
      <w:r>
        <w:rPr>
          <w:rFonts w:hint="eastAsia" w:cs="Segoe UI"/>
          <w:color w:val="000000" w:themeColor="text1"/>
          <w:sz w:val="23"/>
          <w:szCs w:val="23"/>
          <w14:textFill>
            <w14:solidFill>
              <w14:schemeClr w14:val="tx1"/>
            </w14:solidFill>
          </w14:textFill>
        </w:rPr>
        <w:t>：因用户不当使用、第三方因素或不可抗力导致的算法模型产品损坏，不在保修范围内。同时，售后服务团队不承担因用户未按照产品说明或操作指南使用产品而导致的任何损失或责任。</w:t>
      </w:r>
    </w:p>
    <w:p w14:paraId="3EBDC877">
      <w:pPr>
        <w:pStyle w:val="5"/>
        <w:spacing w:before="210" w:beforeAutospacing="0" w:after="120" w:afterAutospacing="0"/>
        <w:rPr>
          <w:rFonts w:cs="Segoe UI"/>
          <w:color w:val="000000" w:themeColor="text1"/>
          <w:sz w:val="27"/>
          <w:szCs w:val="27"/>
          <w14:textFill>
            <w14:solidFill>
              <w14:schemeClr w14:val="tx1"/>
            </w14:solidFill>
          </w14:textFill>
        </w:rPr>
      </w:pPr>
      <w:r>
        <w:rPr>
          <w:rFonts w:cs="Segoe UI"/>
          <w:color w:val="000000" w:themeColor="text1"/>
          <w:sz w:val="27"/>
          <w:szCs w:val="27"/>
          <w14:textFill>
            <w14:solidFill>
              <w14:schemeClr w14:val="tx1"/>
            </w14:solidFill>
          </w14:textFill>
        </w:rPr>
        <w:t>六、争议解决与适用法律</w:t>
      </w:r>
    </w:p>
    <w:p w14:paraId="11C05905">
      <w:pPr>
        <w:numPr>
          <w:ilvl w:val="0"/>
          <w:numId w:val="7"/>
        </w:numPr>
        <w:rPr>
          <w:rFonts w:cs="Segoe UI"/>
          <w:color w:val="000000" w:themeColor="text1"/>
          <w:sz w:val="23"/>
          <w:szCs w:val="23"/>
          <w14:textFill>
            <w14:solidFill>
              <w14:schemeClr w14:val="tx1"/>
            </w14:solidFill>
          </w14:textFill>
        </w:rPr>
      </w:pPr>
      <w:r>
        <w:rPr>
          <w:rStyle w:val="27"/>
          <w:rFonts w:hint="eastAsia" w:cs="微软雅黑"/>
          <w:color w:val="000000" w:themeColor="text1"/>
          <w:sz w:val="23"/>
          <w:szCs w:val="23"/>
          <w14:textFill>
            <w14:solidFill>
              <w14:schemeClr w14:val="tx1"/>
            </w14:solidFill>
          </w14:textFill>
        </w:rPr>
        <w:t>争议解决</w:t>
      </w:r>
      <w:r>
        <w:rPr>
          <w:rFonts w:hint="eastAsia" w:cs="Segoe UI"/>
          <w:color w:val="000000" w:themeColor="text1"/>
          <w:sz w:val="23"/>
          <w:szCs w:val="23"/>
          <w14:textFill>
            <w14:solidFill>
              <w14:schemeClr w14:val="tx1"/>
            </w14:solidFill>
          </w14:textFill>
        </w:rPr>
        <w:t>：双方因执行本售后支持条款产生的争议，应首先通过友好协商解决；协商不成的，可提交至相关仲裁机构或法院解决。</w:t>
      </w:r>
    </w:p>
    <w:p w14:paraId="1B23DBDA">
      <w:pPr>
        <w:numPr>
          <w:ilvl w:val="0"/>
          <w:numId w:val="7"/>
        </w:numPr>
        <w:rPr>
          <w:rFonts w:hint="eastAsia" w:cs="Segoe UI"/>
          <w:color w:val="000000" w:themeColor="text1"/>
          <w:sz w:val="23"/>
          <w:szCs w:val="23"/>
          <w14:textFill>
            <w14:solidFill>
              <w14:schemeClr w14:val="tx1"/>
            </w14:solidFill>
          </w14:textFill>
        </w:rPr>
      </w:pPr>
      <w:r>
        <w:rPr>
          <w:rStyle w:val="27"/>
          <w:rFonts w:hint="eastAsia" w:cs="微软雅黑"/>
          <w:color w:val="000000" w:themeColor="text1"/>
          <w:sz w:val="23"/>
          <w:szCs w:val="23"/>
          <w14:textFill>
            <w14:solidFill>
              <w14:schemeClr w14:val="tx1"/>
            </w14:solidFill>
          </w14:textFill>
        </w:rPr>
        <w:t>适用法律</w:t>
      </w:r>
      <w:r>
        <w:rPr>
          <w:rFonts w:hint="eastAsia" w:cs="Segoe UI"/>
          <w:color w:val="000000" w:themeColor="text1"/>
          <w:sz w:val="23"/>
          <w:szCs w:val="23"/>
          <w14:textFill>
            <w14:solidFill>
              <w14:schemeClr w14:val="tx1"/>
            </w14:solidFill>
          </w14:textFill>
        </w:rPr>
        <w:t>：本售后支持条款的解释、效力及解决争议的适用法律均为相关法律法规。</w:t>
      </w:r>
    </w:p>
    <w:p w14:paraId="49B5F52A">
      <w:pPr>
        <w:pStyle w:val="5"/>
        <w:spacing w:before="210" w:beforeAutospacing="0" w:after="120" w:afterAutospacing="0"/>
        <w:rPr>
          <w:rFonts w:cs="Segoe UI"/>
          <w:color w:val="000000" w:themeColor="text1"/>
          <w:sz w:val="27"/>
          <w:szCs w:val="27"/>
          <w14:textFill>
            <w14:solidFill>
              <w14:schemeClr w14:val="tx1"/>
            </w14:solidFill>
          </w14:textFill>
        </w:rPr>
      </w:pPr>
      <w:r>
        <w:rPr>
          <w:rFonts w:cs="Segoe UI"/>
          <w:color w:val="000000" w:themeColor="text1"/>
          <w:sz w:val="27"/>
          <w:szCs w:val="27"/>
          <w14:textFill>
            <w14:solidFill>
              <w14:schemeClr w14:val="tx1"/>
            </w14:solidFill>
          </w14:textFill>
        </w:rPr>
        <w:t>七、其他条款</w:t>
      </w:r>
    </w:p>
    <w:p w14:paraId="648B2439">
      <w:pPr>
        <w:numPr>
          <w:ilvl w:val="0"/>
          <w:numId w:val="8"/>
        </w:numPr>
        <w:rPr>
          <w:rFonts w:cs="Segoe UI"/>
          <w:color w:val="000000" w:themeColor="text1"/>
          <w:sz w:val="23"/>
          <w:szCs w:val="23"/>
          <w14:textFill>
            <w14:solidFill>
              <w14:schemeClr w14:val="tx1"/>
            </w14:solidFill>
          </w14:textFill>
        </w:rPr>
      </w:pPr>
      <w:r>
        <w:rPr>
          <w:rStyle w:val="27"/>
          <w:rFonts w:hint="eastAsia" w:cs="微软雅黑"/>
          <w:color w:val="000000" w:themeColor="text1"/>
          <w:sz w:val="23"/>
          <w:szCs w:val="23"/>
          <w14:textFill>
            <w14:solidFill>
              <w14:schemeClr w14:val="tx1"/>
            </w14:solidFill>
          </w14:textFill>
        </w:rPr>
        <w:t>条款变更</w:t>
      </w:r>
      <w:r>
        <w:rPr>
          <w:rFonts w:hint="eastAsia" w:cs="Segoe UI"/>
          <w:color w:val="000000" w:themeColor="text1"/>
          <w:sz w:val="23"/>
          <w:szCs w:val="23"/>
          <w14:textFill>
            <w14:solidFill>
              <w14:schemeClr w14:val="tx1"/>
            </w14:solidFill>
          </w14:textFill>
        </w:rPr>
        <w:t>：售后服务团队有权根据业务发展需要或法律法规要求变更本售后支持条款，变更后将及时通知用户。</w:t>
      </w:r>
    </w:p>
    <w:p w14:paraId="48F981FD">
      <w:pPr>
        <w:numPr>
          <w:ilvl w:val="0"/>
          <w:numId w:val="8"/>
        </w:numPr>
        <w:rPr>
          <w:rFonts w:hint="eastAsia" w:cs="Segoe UI"/>
          <w:color w:val="000000" w:themeColor="text1"/>
          <w:sz w:val="23"/>
          <w:szCs w:val="23"/>
          <w14:textFill>
            <w14:solidFill>
              <w14:schemeClr w14:val="tx1"/>
            </w14:solidFill>
          </w14:textFill>
        </w:rPr>
      </w:pPr>
      <w:r>
        <w:rPr>
          <w:rStyle w:val="27"/>
          <w:rFonts w:hint="eastAsia" w:cs="微软雅黑"/>
          <w:color w:val="000000" w:themeColor="text1"/>
          <w:sz w:val="23"/>
          <w:szCs w:val="23"/>
          <w14:textFill>
            <w14:solidFill>
              <w14:schemeClr w14:val="tx1"/>
            </w14:solidFill>
          </w14:textFill>
        </w:rPr>
        <w:t>用户同意</w:t>
      </w:r>
      <w:r>
        <w:rPr>
          <w:rFonts w:hint="eastAsia" w:cs="Segoe UI"/>
          <w:color w:val="000000" w:themeColor="text1"/>
          <w:sz w:val="23"/>
          <w:szCs w:val="23"/>
          <w14:textFill>
            <w14:solidFill>
              <w14:schemeClr w14:val="tx1"/>
            </w14:solidFill>
          </w14:textFill>
        </w:rPr>
        <w:t>：用户在使用算法模型产品时，即视为同意本售后支持条款的所有内容。</w:t>
      </w:r>
    </w:p>
    <w:p w14:paraId="325363F3">
      <w:pPr>
        <w:numPr>
          <w:ilvl w:val="0"/>
          <w:numId w:val="8"/>
        </w:numPr>
        <w:rPr>
          <w:rFonts w:hint="eastAsia" w:cs="Segoe UI"/>
          <w:color w:val="000000" w:themeColor="text1"/>
          <w:sz w:val="23"/>
          <w:szCs w:val="23"/>
          <w14:textFill>
            <w14:solidFill>
              <w14:schemeClr w14:val="tx1"/>
            </w14:solidFill>
          </w14:textFill>
        </w:rPr>
      </w:pPr>
      <w:r>
        <w:rPr>
          <w:rStyle w:val="27"/>
          <w:rFonts w:hint="eastAsia" w:cs="微软雅黑"/>
          <w:color w:val="000000" w:themeColor="text1"/>
          <w:sz w:val="23"/>
          <w:szCs w:val="23"/>
          <w14:textFill>
            <w14:solidFill>
              <w14:schemeClr w14:val="tx1"/>
            </w14:solidFill>
          </w14:textFill>
        </w:rPr>
        <w:t>保密义务</w:t>
      </w:r>
      <w:r>
        <w:rPr>
          <w:rFonts w:hint="eastAsia" w:cs="Segoe UI"/>
          <w:color w:val="000000" w:themeColor="text1"/>
          <w:sz w:val="23"/>
          <w:szCs w:val="23"/>
          <w14:textFill>
            <w14:solidFill>
              <w14:schemeClr w14:val="tx1"/>
            </w14:solidFill>
          </w14:textFill>
        </w:rPr>
        <w:t>：双方应对在合作过程中获取的对方商业秘密及未公开信息承担保密义务，未经对方书面同意，不得向第三方披露或用于其他用途。</w:t>
      </w:r>
    </w:p>
    <w:p w14:paraId="1F665774">
      <w:pPr>
        <w:numPr>
          <w:ilvl w:val="0"/>
          <w:numId w:val="0"/>
        </w:numPr>
        <w:ind w:left="360" w:leftChars="0"/>
        <w:rPr>
          <w:rFonts w:hint="eastAsia" w:cs="Segoe UI"/>
          <w:color w:val="000000" w:themeColor="text1"/>
          <w:sz w:val="23"/>
          <w:szCs w:val="23"/>
          <w14:textFill>
            <w14:solidFill>
              <w14:schemeClr w14:val="tx1"/>
            </w14:solidFill>
          </w14:textFill>
        </w:rPr>
      </w:pPr>
    </w:p>
    <w:p w14:paraId="63051A7E">
      <w:pPr>
        <w:pStyle w:val="2"/>
        <w:numPr>
          <w:ilvl w:val="0"/>
          <w:numId w:val="9"/>
        </w:numPr>
      </w:pPr>
      <w:r>
        <w:rPr>
          <w:rFonts w:hint="eastAsia" w:ascii="仿宋" w:hAnsi="仿宋" w:eastAsia="仿宋"/>
          <w:lang w:val="en-US" w:eastAsia="zh-CN"/>
        </w:rPr>
        <w:t>智能AI空调</w:t>
      </w:r>
      <w:r>
        <w:rPr>
          <w:rFonts w:hint="eastAsia" w:ascii="仿宋" w:hAnsi="仿宋" w:eastAsia="仿宋"/>
        </w:rPr>
        <w:t>模型运行架构图</w:t>
      </w:r>
    </w:p>
    <w:p w14:paraId="4A515F59">
      <w:pPr>
        <w:pStyle w:val="4"/>
        <w:numPr>
          <w:ilvl w:val="0"/>
          <w:numId w:val="10"/>
        </w:numPr>
        <w:rPr>
          <w:rFonts w:ascii="仿宋" w:hAnsi="仿宋" w:eastAsia="仿宋"/>
        </w:rPr>
      </w:pPr>
      <w:r>
        <w:rPr>
          <w:rFonts w:hint="eastAsia" w:ascii="仿宋" w:hAnsi="仿宋" w:eastAsia="仿宋"/>
        </w:rPr>
        <w:t>产品部署流程图</w:t>
      </w:r>
    </w:p>
    <w:p w14:paraId="434CA158">
      <w:pPr>
        <w:jc w:val="center"/>
      </w:pPr>
      <w:r>
        <w:drawing>
          <wp:inline distT="0" distB="0" distL="0" distR="0">
            <wp:extent cx="2238375" cy="61766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2245061" cy="6194205"/>
                    </a:xfrm>
                    <a:prstGeom prst="rect">
                      <a:avLst/>
                    </a:prstGeom>
                  </pic:spPr>
                </pic:pic>
              </a:graphicData>
            </a:graphic>
          </wp:inline>
        </w:drawing>
      </w:r>
    </w:p>
    <w:p w14:paraId="7DA24A09">
      <w:pPr>
        <w:jc w:val="center"/>
        <w:sectPr>
          <w:footerReference r:id="rId3" w:type="default"/>
          <w:pgSz w:w="11900" w:h="16840"/>
          <w:pgMar w:top="1440" w:right="1800" w:bottom="1440" w:left="1800" w:header="851" w:footer="992" w:gutter="0"/>
          <w:pgNumType w:start="1"/>
          <w:cols w:space="425" w:num="1"/>
          <w:docGrid w:type="lines" w:linePitch="312" w:charSpace="0"/>
        </w:sectPr>
      </w:pPr>
    </w:p>
    <w:p w14:paraId="4928E631">
      <w:pPr>
        <w:jc w:val="center"/>
        <w:rPr>
          <w:rFonts w:hint="eastAsia"/>
        </w:rPr>
      </w:pPr>
    </w:p>
    <w:p w14:paraId="3C32EE51">
      <w:pPr>
        <w:pStyle w:val="4"/>
        <w:numPr>
          <w:ilvl w:val="0"/>
          <w:numId w:val="10"/>
        </w:numPr>
        <w:rPr>
          <w:rFonts w:hint="eastAsia" w:ascii="仿宋" w:hAnsi="仿宋" w:eastAsia="仿宋"/>
        </w:rPr>
      </w:pPr>
      <w:r>
        <w:rPr>
          <w:rFonts w:hint="eastAsia" w:ascii="仿宋" w:hAnsi="仿宋" w:eastAsia="仿宋"/>
        </w:rPr>
        <w:t>产品安装部署说明</w:t>
      </w:r>
    </w:p>
    <w:p w14:paraId="23CFE616">
      <w:pPr>
        <w:pStyle w:val="32"/>
        <w:numPr>
          <w:ilvl w:val="0"/>
          <w:numId w:val="11"/>
        </w:numPr>
        <w:ind w:firstLineChars="0"/>
      </w:pPr>
      <w:bookmarkStart w:id="3" w:name="_Toc4513"/>
      <w:r>
        <w:rPr>
          <w:rFonts w:hint="eastAsia"/>
        </w:rPr>
        <w:t>导入依赖包</w:t>
      </w:r>
      <w:bookmarkEnd w:id="3"/>
    </w:p>
    <w:p w14:paraId="3B072EA9">
      <w:pPr>
        <w:pStyle w:val="32"/>
        <w:numPr>
          <w:ilvl w:val="0"/>
          <w:numId w:val="11"/>
        </w:numPr>
        <w:ind w:firstLineChars="0"/>
      </w:pPr>
      <w:r>
        <w:rPr>
          <w:rFonts w:hint="eastAsia"/>
          <w:lang w:val="en-US" w:eastAsia="zh-CN"/>
        </w:rPr>
        <w:t>导入训练数据</w:t>
      </w:r>
    </w:p>
    <w:p w14:paraId="530C7238">
      <w:pPr>
        <w:pStyle w:val="32"/>
        <w:numPr>
          <w:ilvl w:val="0"/>
          <w:numId w:val="11"/>
        </w:numPr>
        <w:ind w:firstLineChars="0"/>
      </w:pPr>
      <w:r>
        <w:rPr>
          <w:rFonts w:hint="eastAsia"/>
          <w:lang w:val="en-US" w:eastAsia="zh-CN"/>
        </w:rPr>
        <w:t>训练模型</w:t>
      </w:r>
    </w:p>
    <w:p w14:paraId="7AEC1433">
      <w:pPr>
        <w:pStyle w:val="32"/>
        <w:numPr>
          <w:ilvl w:val="0"/>
          <w:numId w:val="11"/>
        </w:numPr>
        <w:ind w:firstLineChars="0"/>
      </w:pPr>
      <w:r>
        <w:rPr>
          <w:rFonts w:hint="eastAsia"/>
          <w:lang w:val="en-US" w:eastAsia="zh-CN"/>
        </w:rPr>
        <w:t>模型部署</w:t>
      </w:r>
    </w:p>
    <w:p w14:paraId="4FB14D5E">
      <w:pPr>
        <w:pStyle w:val="4"/>
        <w:numPr>
          <w:ilvl w:val="0"/>
          <w:numId w:val="10"/>
        </w:numPr>
        <w:ind w:left="880" w:hanging="880"/>
        <w:rPr>
          <w:rFonts w:ascii="仿宋" w:hAnsi="仿宋" w:eastAsia="仿宋"/>
        </w:rPr>
      </w:pPr>
      <w:bookmarkStart w:id="4" w:name="_Toc75868481"/>
      <w:r>
        <w:rPr>
          <w:rFonts w:ascii="仿宋" w:hAnsi="仿宋" w:eastAsia="仿宋"/>
        </w:rPr>
        <w:t>平台组件</w:t>
      </w:r>
      <w:bookmarkEnd w:id="4"/>
    </w:p>
    <w:p w14:paraId="6E3E9769">
      <w:r>
        <w:rPr>
          <w:rFonts w:hint="eastAsia"/>
        </w:rPr>
        <w:t xml:space="preserve">  </w:t>
      </w:r>
      <w:r>
        <w:rPr>
          <w:rFonts w:hint="eastAsia"/>
          <w:lang w:val="en-US" w:eastAsia="zh-CN"/>
        </w:rPr>
        <w:t>AI空调用户长期兴趣特征</w:t>
      </w:r>
      <w:r>
        <w:rPr>
          <w:rFonts w:hint="eastAsia"/>
        </w:rPr>
        <w:t>依赖于大数据平台进行</w:t>
      </w:r>
      <w:r>
        <w:rPr>
          <w:rFonts w:hint="eastAsia"/>
          <w:lang w:val="en-US" w:eastAsia="zh-CN"/>
        </w:rPr>
        <w:t>计算</w:t>
      </w:r>
      <w:r>
        <w:t>。</w:t>
      </w:r>
    </w:p>
    <w:p w14:paraId="04985078">
      <w:r>
        <w:rPr>
          <w:rFonts w:hint="eastAsia"/>
        </w:rPr>
        <w:t>安装</w:t>
      </w:r>
      <w:r>
        <w:t>组件如下：</w:t>
      </w:r>
    </w:p>
    <w:p w14:paraId="07A49AEB">
      <w:pPr>
        <w:pStyle w:val="32"/>
        <w:numPr>
          <w:ilvl w:val="0"/>
          <w:numId w:val="12"/>
        </w:numPr>
        <w:ind w:firstLineChars="0"/>
      </w:pPr>
      <w:r>
        <w:t xml:space="preserve">HDFS </w:t>
      </w:r>
    </w:p>
    <w:p w14:paraId="70C06E81">
      <w:pPr>
        <w:pStyle w:val="32"/>
        <w:ind w:left="480" w:firstLine="0" w:firstLineChars="0"/>
        <w:rPr>
          <w:rFonts w:ascii="Times New Roman" w:hAnsi="Times New Roman" w:cs="Times New Roman"/>
          <w:kern w:val="0"/>
        </w:rPr>
      </w:pPr>
      <w:r>
        <w:rPr>
          <w:rFonts w:ascii="Times New Roman" w:hAnsi="Times New Roman" w:cs="Times New Roman"/>
          <w:kern w:val="0"/>
        </w:rPr>
        <w:t>Hadoop分布式文件系统(HDFS)是指被设计成适合运行在通用硬件(commodity hardware)上的分布式文件系统（Distributed File System）。它和现有的分布式文件系统有很多共同点。但同时，它和其他的分布式文件系统的区别也是很明显的。HDFS是一个高度容错性的系统，适合部署在廉价的机器上。HDFS能提供高吞吐量的数据访问，非常适合大规模数据集上的应用。</w:t>
      </w:r>
    </w:p>
    <w:p w14:paraId="1E84778E">
      <w:pPr>
        <w:pStyle w:val="32"/>
        <w:numPr>
          <w:ilvl w:val="0"/>
          <w:numId w:val="12"/>
        </w:numPr>
        <w:ind w:firstLineChars="0"/>
      </w:pPr>
      <w:r>
        <w:t xml:space="preserve">YARN </w:t>
      </w:r>
    </w:p>
    <w:p w14:paraId="4A5F80E9">
      <w:pPr>
        <w:pStyle w:val="32"/>
        <w:ind w:left="480" w:firstLine="0" w:firstLineChars="0"/>
        <w:rPr>
          <w:rFonts w:ascii="Times New Roman" w:hAnsi="Times New Roman" w:cs="Times New Roman"/>
          <w:kern w:val="0"/>
        </w:rPr>
      </w:pPr>
      <w:r>
        <w:rPr>
          <w:rFonts w:ascii="Times New Roman" w:hAnsi="Times New Roman" w:cs="Times New Roman"/>
          <w:kern w:val="0"/>
        </w:rPr>
        <w:t>Apache Hadoop YARN （Yet Another Resource Negotiator，另一种资源协调者）是一种新的 Hadoop 资源管理器，它是一个通用资源管理系统，可为上层应用提供统一的资源管理和调度，它的引入为集群在利用率、资源统一管理和数据共享等</w:t>
      </w:r>
    </w:p>
    <w:p w14:paraId="45D501A7">
      <w:pPr>
        <w:pStyle w:val="32"/>
        <w:numPr>
          <w:ilvl w:val="0"/>
          <w:numId w:val="12"/>
        </w:numPr>
        <w:ind w:firstLineChars="0"/>
      </w:pPr>
      <w:r>
        <w:t xml:space="preserve">Zookeeper </w:t>
      </w:r>
    </w:p>
    <w:p w14:paraId="1428803B">
      <w:pPr>
        <w:pStyle w:val="32"/>
        <w:ind w:left="480" w:firstLine="0" w:firstLineChars="0"/>
        <w:rPr>
          <w:rFonts w:ascii="Times New Roman" w:hAnsi="Times New Roman" w:cs="Times New Roman"/>
          <w:kern w:val="0"/>
        </w:rPr>
      </w:pPr>
      <w:r>
        <w:rPr>
          <w:rFonts w:ascii="Times New Roman" w:hAnsi="Times New Roman" w:cs="Times New Roman"/>
          <w:kern w:val="0"/>
        </w:rPr>
        <w:t>ZooKeeper是一个</w:t>
      </w:r>
      <w:r>
        <w:fldChar w:fldCharType="begin"/>
      </w:r>
      <w:r>
        <w:instrText xml:space="preserve"> HYPERLINK "https://baike.baidu.com/item/%E5%88%86%E5%B8%83%E5%BC%8F/19276232" \t "_blank" </w:instrText>
      </w:r>
      <w:r>
        <w:fldChar w:fldCharType="separate"/>
      </w:r>
      <w:r>
        <w:rPr>
          <w:rFonts w:ascii="Times New Roman" w:hAnsi="Times New Roman" w:cs="Times New Roman"/>
          <w:kern w:val="0"/>
        </w:rPr>
        <w:t>分布式</w:t>
      </w:r>
      <w:r>
        <w:rPr>
          <w:rFonts w:ascii="Times New Roman" w:hAnsi="Times New Roman" w:cs="Times New Roman"/>
          <w:kern w:val="0"/>
        </w:rPr>
        <w:fldChar w:fldCharType="end"/>
      </w:r>
      <w:r>
        <w:rPr>
          <w:rFonts w:ascii="Times New Roman" w:hAnsi="Times New Roman" w:cs="Times New Roman"/>
          <w:kern w:val="0"/>
        </w:rPr>
        <w:t>的，开放源码的</w:t>
      </w:r>
      <w:r>
        <w:fldChar w:fldCharType="begin"/>
      </w:r>
      <w:r>
        <w:instrText xml:space="preserve"> HYPERLINK "https://baike.baidu.com/item/%E5%88%86%E5%B8%83%E5%BC%8F%E5%BA%94%E7%94%A8%E7%A8%8B%E5%BA%8F/9854429" \t "_blank" </w:instrText>
      </w:r>
      <w:r>
        <w:fldChar w:fldCharType="separate"/>
      </w:r>
      <w:r>
        <w:rPr>
          <w:rFonts w:ascii="Times New Roman" w:hAnsi="Times New Roman" w:cs="Times New Roman"/>
          <w:kern w:val="0"/>
        </w:rPr>
        <w:t>分布式应用程序</w:t>
      </w:r>
      <w:r>
        <w:rPr>
          <w:rFonts w:ascii="Times New Roman" w:hAnsi="Times New Roman" w:cs="Times New Roman"/>
          <w:kern w:val="0"/>
        </w:rPr>
        <w:fldChar w:fldCharType="end"/>
      </w:r>
      <w:r>
        <w:rPr>
          <w:rFonts w:ascii="Times New Roman" w:hAnsi="Times New Roman" w:cs="Times New Roman"/>
          <w:kern w:val="0"/>
        </w:rPr>
        <w:t>协调服务，是</w:t>
      </w:r>
      <w:r>
        <w:fldChar w:fldCharType="begin"/>
      </w:r>
      <w:r>
        <w:instrText xml:space="preserve"> HYPERLINK "https://baike.baidu.com/item/Google" \t "_blank" </w:instrText>
      </w:r>
      <w:r>
        <w:fldChar w:fldCharType="separate"/>
      </w:r>
      <w:r>
        <w:rPr>
          <w:rFonts w:ascii="Times New Roman" w:hAnsi="Times New Roman" w:cs="Times New Roman"/>
          <w:kern w:val="0"/>
        </w:rPr>
        <w:t>Google</w:t>
      </w:r>
      <w:r>
        <w:rPr>
          <w:rFonts w:ascii="Times New Roman" w:hAnsi="Times New Roman" w:cs="Times New Roman"/>
          <w:kern w:val="0"/>
        </w:rPr>
        <w:fldChar w:fldCharType="end"/>
      </w:r>
      <w:r>
        <w:rPr>
          <w:rFonts w:ascii="Times New Roman" w:hAnsi="Times New Roman" w:cs="Times New Roman"/>
          <w:kern w:val="0"/>
        </w:rPr>
        <w:t>的Chubby一个</w:t>
      </w:r>
      <w:r>
        <w:fldChar w:fldCharType="begin"/>
      </w:r>
      <w:r>
        <w:instrText xml:space="preserve"> HYPERLINK "https://baike.baidu.com/item/%E5%BC%80%E6%BA%90/246339" \t "_blank" </w:instrText>
      </w:r>
      <w:r>
        <w:fldChar w:fldCharType="separate"/>
      </w:r>
      <w:r>
        <w:rPr>
          <w:rFonts w:ascii="Times New Roman" w:hAnsi="Times New Roman" w:cs="Times New Roman"/>
          <w:kern w:val="0"/>
        </w:rPr>
        <w:t>开源</w:t>
      </w:r>
      <w:r>
        <w:rPr>
          <w:rFonts w:ascii="Times New Roman" w:hAnsi="Times New Roman" w:cs="Times New Roman"/>
          <w:kern w:val="0"/>
        </w:rPr>
        <w:fldChar w:fldCharType="end"/>
      </w:r>
      <w:r>
        <w:rPr>
          <w:rFonts w:ascii="Times New Roman" w:hAnsi="Times New Roman" w:cs="Times New Roman"/>
          <w:kern w:val="0"/>
        </w:rPr>
        <w:t>的实现，是Hadoop和HBase的重要组件。它是一个为分布式应用提供一致性服务的软件，提供的功能包括：配置维护、域名服务、分布式同步、组服务等。</w:t>
      </w:r>
    </w:p>
    <w:p w14:paraId="0CEAE05D">
      <w:pPr>
        <w:pStyle w:val="32"/>
        <w:numPr>
          <w:ilvl w:val="0"/>
          <w:numId w:val="12"/>
        </w:numPr>
        <w:ind w:firstLineChars="0"/>
      </w:pPr>
      <w:r>
        <w:t xml:space="preserve">Spark </w:t>
      </w:r>
    </w:p>
    <w:p w14:paraId="25433F8A">
      <w:pPr>
        <w:pStyle w:val="32"/>
        <w:ind w:left="480" w:firstLine="0" w:firstLineChars="0"/>
        <w:rPr>
          <w:rFonts w:ascii="Times New Roman" w:hAnsi="Times New Roman" w:cs="Times New Roman"/>
          <w:kern w:val="0"/>
        </w:rPr>
      </w:pPr>
      <w:r>
        <w:rPr>
          <w:rFonts w:ascii="Times New Roman" w:hAnsi="Times New Roman" w:cs="Times New Roman"/>
          <w:kern w:val="0"/>
        </w:rPr>
        <w:t>Apache Spark 是专为大规模数据处理而设计的快速通用的计算引擎。Spark是UC Berkeley AMP lab (加州大学伯克利分校的AMP实验室)所开源的类Hadoop MapReduce的通用并行框架，Spark，拥有Hadoop MapReduce所具有的优点；但不同于MapReduce的是——Job中间输出结果可以保存在内存中，从而不再需要读写HDFS</w:t>
      </w:r>
    </w:p>
    <w:p w14:paraId="467A19D0">
      <w:pPr>
        <w:pStyle w:val="32"/>
        <w:numPr>
          <w:ilvl w:val="0"/>
          <w:numId w:val="12"/>
        </w:numPr>
        <w:ind w:firstLineChars="0"/>
      </w:pPr>
      <w:r>
        <w:t xml:space="preserve">Hive </w:t>
      </w:r>
    </w:p>
    <w:p w14:paraId="01CA1CA4">
      <w:pPr>
        <w:pStyle w:val="32"/>
        <w:ind w:left="480" w:firstLine="0" w:firstLineChars="0"/>
        <w:rPr>
          <w:rFonts w:ascii="Times New Roman" w:hAnsi="Times New Roman" w:cs="Times New Roman"/>
          <w:kern w:val="0"/>
        </w:rPr>
      </w:pPr>
      <w:r>
        <w:rPr>
          <w:rFonts w:ascii="Times New Roman" w:hAnsi="Times New Roman" w:cs="Times New Roman"/>
          <w:kern w:val="0"/>
        </w:rPr>
        <w:t>Hive是一个数据仓库基础工具在Hadoop中用来处理结构化数据。它架构在Hadoop之上，总归为大数据，并使得查询和分析方便。并提供简单的sql查询功能，可以将sql语句转换为MapReduce任务进行运行。</w:t>
      </w:r>
    </w:p>
    <w:p w14:paraId="7DB8E1AC">
      <w:pPr>
        <w:pStyle w:val="32"/>
        <w:numPr>
          <w:ilvl w:val="0"/>
          <w:numId w:val="12"/>
        </w:numPr>
        <w:ind w:firstLineChars="0"/>
      </w:pPr>
      <w:r>
        <w:t>K</w:t>
      </w:r>
      <w:r>
        <w:rPr>
          <w:rFonts w:hint="eastAsia"/>
        </w:rPr>
        <w:t>afka</w:t>
      </w:r>
    </w:p>
    <w:p w14:paraId="55F15349">
      <w:pPr>
        <w:pStyle w:val="32"/>
        <w:ind w:left="480" w:firstLine="0" w:firstLineChars="0"/>
        <w:rPr>
          <w:rFonts w:ascii="Times New Roman" w:hAnsi="Times New Roman" w:cs="Times New Roman"/>
          <w:kern w:val="0"/>
        </w:rPr>
      </w:pPr>
      <w:r>
        <w:rPr>
          <w:rFonts w:ascii="Times New Roman" w:hAnsi="Times New Roman" w:cs="Times New Roman"/>
          <w:kern w:val="0"/>
        </w:rPr>
        <w:t>Apache Kafka 是一个开源分布式事件流平台，被数千家公司用于高性能数据管道、流分析、数据集成和关键任务应用程序。</w:t>
      </w:r>
    </w:p>
    <w:p w14:paraId="1D82793B">
      <w:pPr>
        <w:pStyle w:val="32"/>
        <w:ind w:left="480" w:firstLine="0" w:firstLineChars="0"/>
        <w:rPr>
          <w:rFonts w:ascii="Times New Roman" w:hAnsi="Times New Roman" w:cs="Times New Roman"/>
          <w:kern w:val="0"/>
        </w:rPr>
      </w:pPr>
    </w:p>
    <w:p w14:paraId="13320FB3">
      <w:pPr>
        <w:pStyle w:val="4"/>
        <w:numPr>
          <w:ilvl w:val="0"/>
          <w:numId w:val="10"/>
        </w:numPr>
        <w:rPr>
          <w:rFonts w:ascii="仿宋" w:hAnsi="仿宋" w:eastAsia="仿宋"/>
        </w:rPr>
      </w:pPr>
      <w:bookmarkStart w:id="5" w:name="_Toc75868484"/>
      <w:r>
        <w:rPr>
          <w:rFonts w:ascii="仿宋" w:hAnsi="仿宋" w:eastAsia="仿宋"/>
        </w:rPr>
        <w:t>数据计算</w:t>
      </w:r>
      <w:bookmarkEnd w:id="5"/>
    </w:p>
    <w:p w14:paraId="6D542B51">
      <w:pPr>
        <w:pStyle w:val="32"/>
        <w:numPr>
          <w:ilvl w:val="0"/>
          <w:numId w:val="13"/>
        </w:numPr>
        <w:ind w:firstLineChars="0"/>
      </w:pPr>
      <w:r>
        <w:rPr>
          <w:rFonts w:hint="eastAsia"/>
        </w:rPr>
        <w:t>离线</w:t>
      </w:r>
      <w:r>
        <w:t>计算</w:t>
      </w:r>
    </w:p>
    <w:p w14:paraId="32F26D24">
      <w:pPr>
        <w:pStyle w:val="32"/>
        <w:ind w:left="641" w:firstLine="0" w:firstLineChars="0"/>
      </w:pPr>
      <w:r>
        <w:rPr>
          <w:rFonts w:hint="eastAsia"/>
        </w:rPr>
        <w:t>采用</w:t>
      </w:r>
      <w:r>
        <w:t>Spark</w:t>
      </w:r>
      <w:r>
        <w:rPr>
          <w:rFonts w:hint="eastAsia"/>
        </w:rPr>
        <w:t>C</w:t>
      </w:r>
      <w:r>
        <w:t>ore</w:t>
      </w:r>
      <w:r>
        <w:rPr>
          <w:rFonts w:hint="eastAsia"/>
        </w:rPr>
        <w:t>或是</w:t>
      </w:r>
      <w:r>
        <w:t>SparkS</w:t>
      </w:r>
      <w:r>
        <w:rPr>
          <w:rFonts w:hint="eastAsia"/>
        </w:rPr>
        <w:t>QL</w:t>
      </w:r>
      <w:r>
        <w:t xml:space="preserve"> </w:t>
      </w:r>
      <w:r>
        <w:rPr>
          <w:rFonts w:hint="eastAsia"/>
        </w:rPr>
        <w:t>进行</w:t>
      </w:r>
      <w:r>
        <w:t>离线计算将</w:t>
      </w:r>
      <w:r>
        <w:rPr>
          <w:rFonts w:hint="eastAsia"/>
        </w:rPr>
        <w:t>结果</w:t>
      </w:r>
      <w:r>
        <w:t>输入到数据仓库中，离线计算</w:t>
      </w:r>
      <w:r>
        <w:rPr>
          <w:rFonts w:hint="eastAsia"/>
        </w:rPr>
        <w:t>平台</w:t>
      </w:r>
      <w:r>
        <w:t>任务可以按照天、</w:t>
      </w:r>
      <w:r>
        <w:rPr>
          <w:rFonts w:hint="eastAsia"/>
        </w:rPr>
        <w:t>周</w:t>
      </w:r>
      <w:r>
        <w:t>、</w:t>
      </w:r>
      <w:r>
        <w:rPr>
          <w:rFonts w:hint="eastAsia"/>
        </w:rPr>
        <w:t>月以及</w:t>
      </w:r>
      <w:r>
        <w:t>自定义时间进行一次</w:t>
      </w:r>
      <w:r>
        <w:rPr>
          <w:rFonts w:hint="eastAsia"/>
        </w:rPr>
        <w:t>或</w:t>
      </w:r>
      <w:r>
        <w:t>多次</w:t>
      </w:r>
      <w:r>
        <w:rPr>
          <w:rFonts w:hint="eastAsia"/>
        </w:rPr>
        <w:t>任务</w:t>
      </w:r>
      <w:r>
        <w:t>执行，</w:t>
      </w:r>
      <w:r>
        <w:rPr>
          <w:rFonts w:hint="eastAsia"/>
        </w:rPr>
        <w:t>并</w:t>
      </w:r>
      <w:r>
        <w:t>可以重复执行，</w:t>
      </w:r>
      <w:r>
        <w:rPr>
          <w:rFonts w:hint="eastAsia"/>
        </w:rPr>
        <w:t>以及补充</w:t>
      </w:r>
      <w:r>
        <w:t>历史数据等。</w:t>
      </w:r>
    </w:p>
    <w:p w14:paraId="1879413B">
      <w:pPr>
        <w:pStyle w:val="32"/>
        <w:numPr>
          <w:ilvl w:val="0"/>
          <w:numId w:val="13"/>
        </w:numPr>
        <w:ind w:firstLineChars="0"/>
      </w:pPr>
      <w:r>
        <w:rPr>
          <w:rFonts w:hint="eastAsia"/>
        </w:rPr>
        <w:t>数据</w:t>
      </w:r>
      <w:r>
        <w:t>架构</w:t>
      </w:r>
    </w:p>
    <w:p w14:paraId="7D603BC4">
      <w:pPr>
        <w:pStyle w:val="32"/>
        <w:ind w:left="480" w:firstLine="0" w:firstLineChars="0"/>
      </w:pPr>
      <w:r>
        <w:t>数据仓库模型</w:t>
      </w:r>
      <w:r>
        <w:rPr>
          <w:rFonts w:hint="eastAsia"/>
        </w:rPr>
        <w:t>如下</w:t>
      </w:r>
      <w:r>
        <w:t>：</w:t>
      </w:r>
    </w:p>
    <w:p w14:paraId="717E0CEB">
      <w:pPr>
        <w:pStyle w:val="32"/>
        <w:numPr>
          <w:ilvl w:val="0"/>
          <w:numId w:val="14"/>
        </w:numPr>
        <w:ind w:firstLineChars="0"/>
      </w:pPr>
      <w:r>
        <w:t>ODS（</w:t>
      </w:r>
      <w:r>
        <w:rPr>
          <w:rFonts w:hint="eastAsia"/>
        </w:rPr>
        <w:t>操作</w:t>
      </w:r>
      <w:r>
        <w:t>数据）</w:t>
      </w:r>
    </w:p>
    <w:p w14:paraId="4FA4DF14">
      <w:pPr>
        <w:pStyle w:val="32"/>
        <w:ind w:left="1320" w:firstLine="0" w:firstLineChars="0"/>
      </w:pPr>
      <w:r>
        <w:t>或是原始数据层，</w:t>
      </w:r>
      <w:r>
        <w:rPr>
          <w:rFonts w:hint="eastAsia"/>
        </w:rPr>
        <w:t>用于</w:t>
      </w:r>
      <w:r>
        <w:t xml:space="preserve">存储  </w:t>
      </w:r>
      <w:r>
        <w:rPr>
          <w:rFonts w:hint="eastAsia"/>
        </w:rPr>
        <w:t>数据</w:t>
      </w:r>
      <w:r>
        <w:t>，</w:t>
      </w:r>
      <w:r>
        <w:rPr>
          <w:rFonts w:hint="eastAsia"/>
        </w:rPr>
        <w:t>或是</w:t>
      </w:r>
      <w:r>
        <w:t>其他来源数据</w:t>
      </w:r>
    </w:p>
    <w:p w14:paraId="18F4817C">
      <w:pPr>
        <w:pStyle w:val="32"/>
        <w:numPr>
          <w:ilvl w:val="0"/>
          <w:numId w:val="14"/>
        </w:numPr>
        <w:ind w:firstLineChars="0"/>
      </w:pPr>
      <w:r>
        <w:t>DWS（公共</w:t>
      </w:r>
      <w:r>
        <w:rPr>
          <w:rFonts w:hint="eastAsia"/>
        </w:rPr>
        <w:t>明细</w:t>
      </w:r>
      <w:r>
        <w:t>）</w:t>
      </w:r>
    </w:p>
    <w:p w14:paraId="2DB842FC">
      <w:pPr>
        <w:pStyle w:val="32"/>
        <w:ind w:left="1320" w:firstLine="0" w:firstLineChars="0"/>
      </w:pPr>
      <w:r>
        <w:t>对ODS层数据进行清洗（去除空值，脏数据，超过极限范围的数据）</w:t>
      </w:r>
    </w:p>
    <w:p w14:paraId="414C6C2D">
      <w:pPr>
        <w:pStyle w:val="32"/>
        <w:numPr>
          <w:ilvl w:val="0"/>
          <w:numId w:val="14"/>
        </w:numPr>
        <w:ind w:firstLineChars="0"/>
      </w:pPr>
      <w:r>
        <w:t>DWD（</w:t>
      </w:r>
      <w:r>
        <w:rPr>
          <w:rFonts w:hint="eastAsia"/>
        </w:rPr>
        <w:t>公共</w:t>
      </w:r>
      <w:r>
        <w:t>汇总）</w:t>
      </w:r>
    </w:p>
    <w:p w14:paraId="7D5ED45C">
      <w:pPr>
        <w:pStyle w:val="32"/>
        <w:ind w:left="1320" w:firstLine="0" w:firstLineChars="0"/>
      </w:pPr>
      <w:r>
        <w:t>可以对应数据进行维度汇总形成各种组合</w:t>
      </w:r>
      <w:r>
        <w:rPr>
          <w:rFonts w:hint="eastAsia"/>
        </w:rPr>
        <w:t>表</w:t>
      </w:r>
    </w:p>
    <w:p w14:paraId="2DD2B2A6">
      <w:pPr>
        <w:pStyle w:val="32"/>
        <w:numPr>
          <w:ilvl w:val="0"/>
          <w:numId w:val="14"/>
        </w:numPr>
        <w:ind w:firstLineChars="0"/>
      </w:pPr>
      <w:r>
        <w:t>ADS（数据应用）</w:t>
      </w:r>
    </w:p>
    <w:p w14:paraId="68F10311">
      <w:pPr>
        <w:pStyle w:val="32"/>
        <w:ind w:left="1320" w:firstLine="0" w:firstLineChars="0"/>
      </w:pPr>
      <w:r>
        <w:t>这个是数据仓库的最后一层数据，为应用层数据，直接可以给业务人员使用</w:t>
      </w:r>
    </w:p>
    <w:p w14:paraId="3F601571">
      <w:pPr>
        <w:pStyle w:val="4"/>
        <w:numPr>
          <w:ilvl w:val="0"/>
          <w:numId w:val="10"/>
        </w:numPr>
        <w:rPr>
          <w:rFonts w:ascii="仿宋" w:hAnsi="仿宋" w:eastAsia="仿宋"/>
        </w:rPr>
      </w:pPr>
      <w:bookmarkStart w:id="6" w:name="_Toc75868485"/>
      <w:r>
        <w:rPr>
          <w:rFonts w:ascii="仿宋" w:hAnsi="仿宋" w:eastAsia="仿宋"/>
        </w:rPr>
        <w:t>数据存储</w:t>
      </w:r>
      <w:bookmarkEnd w:id="6"/>
    </w:p>
    <w:p w14:paraId="7B9EC729">
      <w:pPr>
        <w:pStyle w:val="32"/>
        <w:numPr>
          <w:ilvl w:val="0"/>
          <w:numId w:val="15"/>
        </w:numPr>
        <w:ind w:firstLineChars="0"/>
      </w:pPr>
      <w:r>
        <w:rPr>
          <w:rFonts w:hint="eastAsia"/>
        </w:rPr>
        <w:t>MySQL</w:t>
      </w:r>
    </w:p>
    <w:p w14:paraId="1AB0ADBF">
      <w:pPr>
        <w:pStyle w:val="32"/>
        <w:numPr>
          <w:ilvl w:val="0"/>
          <w:numId w:val="16"/>
        </w:numPr>
        <w:ind w:firstLineChars="0"/>
      </w:pPr>
      <w:r>
        <w:rPr>
          <w:rFonts w:hint="eastAsia"/>
          <w:lang w:val="en-US" w:eastAsia="zh-CN"/>
        </w:rPr>
        <w:t>存储用户长期兴趣特征的计算</w:t>
      </w:r>
    </w:p>
    <w:p w14:paraId="09847644">
      <w:pPr>
        <w:pStyle w:val="32"/>
        <w:numPr>
          <w:ilvl w:val="0"/>
          <w:numId w:val="15"/>
        </w:numPr>
        <w:ind w:firstLineChars="0"/>
      </w:pPr>
      <w:r>
        <w:t>Hive</w:t>
      </w:r>
    </w:p>
    <w:p w14:paraId="1FBA991C">
      <w:pPr>
        <w:pStyle w:val="32"/>
        <w:numPr>
          <w:ilvl w:val="0"/>
          <w:numId w:val="16"/>
        </w:numPr>
        <w:ind w:firstLineChars="0"/>
      </w:pPr>
      <w:r>
        <w:t>数据仓库的</w:t>
      </w:r>
      <w:r>
        <w:rPr>
          <w:rFonts w:hint="eastAsia"/>
        </w:rPr>
        <w:t>存储</w:t>
      </w:r>
    </w:p>
    <w:p w14:paraId="60B9D0EB">
      <w:pPr>
        <w:pStyle w:val="32"/>
        <w:numPr>
          <w:ilvl w:val="0"/>
          <w:numId w:val="16"/>
        </w:numPr>
        <w:ind w:firstLineChars="0"/>
        <w:rPr>
          <w:rFonts w:hint="eastAsia" w:ascii="仿宋" w:hAnsi="仿宋" w:eastAsia="仿宋"/>
        </w:rPr>
      </w:pPr>
      <w:r>
        <w:rPr>
          <w:rFonts w:hint="eastAsia"/>
          <w:lang w:val="en-US" w:eastAsia="zh-CN"/>
        </w:rPr>
        <w:t>用户长期兴趣特征的计算</w:t>
      </w:r>
    </w:p>
    <w:sectPr>
      <w:pgSz w:w="11900" w:h="16840"/>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57FA">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7000" cy="16129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27000" cy="161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109EE">
                          <w:pPr>
                            <w:pStyle w:val="1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pt;width:10pt;mso-position-horizontal:center;mso-position-horizontal-relative:margin;mso-wrap-style:none;z-index:251659264;mso-width-relative:page;mso-height-relative:page;" filled="f" stroked="f" coordsize="21600,21600" o:gfxdata="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hKWO9EAAAADAQAADwAAAAAAAAABACAAAAAiAAAAZHJzL2Rvd25yZXYueG1sUEsBAhQAFAAA&#10;AAgAh07iQMK9QIAvAgAAVQQAAA4AAAAAAAAAAQAgAAAAIAEAAGRycy9lMm9Eb2MueG1sUEsFBgAA&#10;AAAGAAYAWQEAAMEFAAAAAA==&#10;">
              <v:fill on="f" focussize="0,0"/>
              <v:stroke on="f" weight="0.5pt"/>
              <v:imagedata o:title=""/>
              <o:lock v:ext="edit" aspectratio="f"/>
              <v:textbox inset="0mm,0mm,0mm,0mm" style="mso-fit-shape-to-text:t;">
                <w:txbxContent>
                  <w:p w14:paraId="605109EE">
                    <w:pPr>
                      <w:pStyle w:val="1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C5EC4"/>
    <w:multiLevelType w:val="multilevel"/>
    <w:tmpl w:val="0ECC5EC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F346F74"/>
    <w:multiLevelType w:val="multilevel"/>
    <w:tmpl w:val="0F346F74"/>
    <w:lvl w:ilvl="0" w:tentative="0">
      <w:start w:val="1"/>
      <w:numFmt w:val="decimal"/>
      <w:lvlText w:val="%1)"/>
      <w:lvlJc w:val="left"/>
      <w:pPr>
        <w:ind w:left="1189" w:hanging="480"/>
      </w:pPr>
    </w:lvl>
    <w:lvl w:ilvl="1" w:tentative="0">
      <w:start w:val="1"/>
      <w:numFmt w:val="lowerLetter"/>
      <w:lvlText w:val="%2)"/>
      <w:lvlJc w:val="left"/>
      <w:pPr>
        <w:ind w:left="1669" w:hanging="480"/>
      </w:pPr>
    </w:lvl>
    <w:lvl w:ilvl="2" w:tentative="0">
      <w:start w:val="1"/>
      <w:numFmt w:val="lowerRoman"/>
      <w:lvlText w:val="%3."/>
      <w:lvlJc w:val="right"/>
      <w:pPr>
        <w:ind w:left="2149" w:hanging="480"/>
      </w:pPr>
    </w:lvl>
    <w:lvl w:ilvl="3" w:tentative="0">
      <w:start w:val="1"/>
      <w:numFmt w:val="decimal"/>
      <w:lvlText w:val="%4."/>
      <w:lvlJc w:val="left"/>
      <w:pPr>
        <w:ind w:left="2629" w:hanging="480"/>
      </w:pPr>
    </w:lvl>
    <w:lvl w:ilvl="4" w:tentative="0">
      <w:start w:val="1"/>
      <w:numFmt w:val="lowerLetter"/>
      <w:lvlText w:val="%5)"/>
      <w:lvlJc w:val="left"/>
      <w:pPr>
        <w:ind w:left="3109" w:hanging="480"/>
      </w:pPr>
    </w:lvl>
    <w:lvl w:ilvl="5" w:tentative="0">
      <w:start w:val="1"/>
      <w:numFmt w:val="lowerRoman"/>
      <w:lvlText w:val="%6."/>
      <w:lvlJc w:val="right"/>
      <w:pPr>
        <w:ind w:left="3589" w:hanging="480"/>
      </w:pPr>
    </w:lvl>
    <w:lvl w:ilvl="6" w:tentative="0">
      <w:start w:val="1"/>
      <w:numFmt w:val="decimal"/>
      <w:lvlText w:val="%7."/>
      <w:lvlJc w:val="left"/>
      <w:pPr>
        <w:ind w:left="4069" w:hanging="480"/>
      </w:pPr>
    </w:lvl>
    <w:lvl w:ilvl="7" w:tentative="0">
      <w:start w:val="1"/>
      <w:numFmt w:val="lowerLetter"/>
      <w:lvlText w:val="%8)"/>
      <w:lvlJc w:val="left"/>
      <w:pPr>
        <w:ind w:left="4549" w:hanging="480"/>
      </w:pPr>
    </w:lvl>
    <w:lvl w:ilvl="8" w:tentative="0">
      <w:start w:val="1"/>
      <w:numFmt w:val="lowerRoman"/>
      <w:lvlText w:val="%9."/>
      <w:lvlJc w:val="right"/>
      <w:pPr>
        <w:ind w:left="5029" w:hanging="480"/>
      </w:pPr>
    </w:lvl>
  </w:abstractNum>
  <w:abstractNum w:abstractNumId="2">
    <w:nsid w:val="120B680E"/>
    <w:multiLevelType w:val="multilevel"/>
    <w:tmpl w:val="120B680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8911C7E"/>
    <w:multiLevelType w:val="multilevel"/>
    <w:tmpl w:val="18911C7E"/>
    <w:lvl w:ilvl="0" w:tentative="0">
      <w:start w:val="1"/>
      <w:numFmt w:val="bullet"/>
      <w:lvlText w:val=""/>
      <w:lvlJc w:val="left"/>
      <w:pPr>
        <w:ind w:left="1614" w:hanging="480"/>
      </w:pPr>
      <w:rPr>
        <w:rFonts w:hint="default" w:ascii="Wingdings" w:hAnsi="Wingdings"/>
      </w:rPr>
    </w:lvl>
    <w:lvl w:ilvl="1" w:tentative="0">
      <w:start w:val="1"/>
      <w:numFmt w:val="bullet"/>
      <w:lvlText w:val=""/>
      <w:lvlJc w:val="left"/>
      <w:pPr>
        <w:ind w:left="2094" w:hanging="480"/>
      </w:pPr>
      <w:rPr>
        <w:rFonts w:hint="default" w:ascii="Wingdings" w:hAnsi="Wingdings"/>
      </w:rPr>
    </w:lvl>
    <w:lvl w:ilvl="2" w:tentative="0">
      <w:start w:val="1"/>
      <w:numFmt w:val="bullet"/>
      <w:lvlText w:val=""/>
      <w:lvlJc w:val="left"/>
      <w:pPr>
        <w:ind w:left="2574" w:hanging="480"/>
      </w:pPr>
      <w:rPr>
        <w:rFonts w:hint="default" w:ascii="Wingdings" w:hAnsi="Wingdings"/>
      </w:rPr>
    </w:lvl>
    <w:lvl w:ilvl="3" w:tentative="0">
      <w:start w:val="1"/>
      <w:numFmt w:val="bullet"/>
      <w:lvlText w:val=""/>
      <w:lvlJc w:val="left"/>
      <w:pPr>
        <w:ind w:left="3054" w:hanging="480"/>
      </w:pPr>
      <w:rPr>
        <w:rFonts w:hint="default" w:ascii="Wingdings" w:hAnsi="Wingdings"/>
      </w:rPr>
    </w:lvl>
    <w:lvl w:ilvl="4" w:tentative="0">
      <w:start w:val="1"/>
      <w:numFmt w:val="bullet"/>
      <w:lvlText w:val=""/>
      <w:lvlJc w:val="left"/>
      <w:pPr>
        <w:ind w:left="3534" w:hanging="480"/>
      </w:pPr>
      <w:rPr>
        <w:rFonts w:hint="default" w:ascii="Wingdings" w:hAnsi="Wingdings"/>
      </w:rPr>
    </w:lvl>
    <w:lvl w:ilvl="5" w:tentative="0">
      <w:start w:val="1"/>
      <w:numFmt w:val="bullet"/>
      <w:lvlText w:val=""/>
      <w:lvlJc w:val="left"/>
      <w:pPr>
        <w:ind w:left="4014" w:hanging="480"/>
      </w:pPr>
      <w:rPr>
        <w:rFonts w:hint="default" w:ascii="Wingdings" w:hAnsi="Wingdings"/>
      </w:rPr>
    </w:lvl>
    <w:lvl w:ilvl="6" w:tentative="0">
      <w:start w:val="1"/>
      <w:numFmt w:val="bullet"/>
      <w:lvlText w:val=""/>
      <w:lvlJc w:val="left"/>
      <w:pPr>
        <w:ind w:left="4494" w:hanging="480"/>
      </w:pPr>
      <w:rPr>
        <w:rFonts w:hint="default" w:ascii="Wingdings" w:hAnsi="Wingdings"/>
      </w:rPr>
    </w:lvl>
    <w:lvl w:ilvl="7" w:tentative="0">
      <w:start w:val="1"/>
      <w:numFmt w:val="bullet"/>
      <w:lvlText w:val=""/>
      <w:lvlJc w:val="left"/>
      <w:pPr>
        <w:ind w:left="4974" w:hanging="480"/>
      </w:pPr>
      <w:rPr>
        <w:rFonts w:hint="default" w:ascii="Wingdings" w:hAnsi="Wingdings"/>
      </w:rPr>
    </w:lvl>
    <w:lvl w:ilvl="8" w:tentative="0">
      <w:start w:val="1"/>
      <w:numFmt w:val="bullet"/>
      <w:lvlText w:val=""/>
      <w:lvlJc w:val="left"/>
      <w:pPr>
        <w:ind w:left="5454" w:hanging="480"/>
      </w:pPr>
      <w:rPr>
        <w:rFonts w:hint="default" w:ascii="Wingdings" w:hAnsi="Wingdings"/>
      </w:rPr>
    </w:lvl>
  </w:abstractNum>
  <w:abstractNum w:abstractNumId="4">
    <w:nsid w:val="1AB0083C"/>
    <w:multiLevelType w:val="multilevel"/>
    <w:tmpl w:val="1AB0083C"/>
    <w:lvl w:ilvl="0" w:tentative="0">
      <w:start w:val="1"/>
      <w:numFmt w:val="japaneseCounting"/>
      <w:lvlText w:val="%1、"/>
      <w:lvlJc w:val="left"/>
      <w:pPr>
        <w:ind w:left="880" w:hanging="88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5">
    <w:nsid w:val="2FFA3E4A"/>
    <w:multiLevelType w:val="multilevel"/>
    <w:tmpl w:val="2FFA3E4A"/>
    <w:lvl w:ilvl="0" w:tentative="0">
      <w:start w:val="1"/>
      <w:numFmt w:val="decimal"/>
      <w:lvlText w:val="%1)"/>
      <w:lvlJc w:val="left"/>
      <w:pPr>
        <w:ind w:left="1047" w:hanging="480"/>
      </w:pPr>
    </w:lvl>
    <w:lvl w:ilvl="1" w:tentative="0">
      <w:start w:val="1"/>
      <w:numFmt w:val="lowerLetter"/>
      <w:lvlText w:val="%2)"/>
      <w:lvlJc w:val="left"/>
      <w:pPr>
        <w:ind w:left="1688" w:hanging="480"/>
      </w:pPr>
    </w:lvl>
    <w:lvl w:ilvl="2" w:tentative="0">
      <w:start w:val="1"/>
      <w:numFmt w:val="lowerRoman"/>
      <w:lvlText w:val="%3."/>
      <w:lvlJc w:val="right"/>
      <w:pPr>
        <w:ind w:left="2168" w:hanging="480"/>
      </w:pPr>
    </w:lvl>
    <w:lvl w:ilvl="3" w:tentative="0">
      <w:start w:val="1"/>
      <w:numFmt w:val="decimal"/>
      <w:lvlText w:val="%4."/>
      <w:lvlJc w:val="left"/>
      <w:pPr>
        <w:ind w:left="2648" w:hanging="480"/>
      </w:pPr>
    </w:lvl>
    <w:lvl w:ilvl="4" w:tentative="0">
      <w:start w:val="1"/>
      <w:numFmt w:val="lowerLetter"/>
      <w:lvlText w:val="%5)"/>
      <w:lvlJc w:val="left"/>
      <w:pPr>
        <w:ind w:left="3128" w:hanging="480"/>
      </w:pPr>
    </w:lvl>
    <w:lvl w:ilvl="5" w:tentative="0">
      <w:start w:val="1"/>
      <w:numFmt w:val="lowerRoman"/>
      <w:lvlText w:val="%6."/>
      <w:lvlJc w:val="right"/>
      <w:pPr>
        <w:ind w:left="3608" w:hanging="480"/>
      </w:pPr>
    </w:lvl>
    <w:lvl w:ilvl="6" w:tentative="0">
      <w:start w:val="1"/>
      <w:numFmt w:val="decimal"/>
      <w:lvlText w:val="%7."/>
      <w:lvlJc w:val="left"/>
      <w:pPr>
        <w:ind w:left="4088" w:hanging="480"/>
      </w:pPr>
    </w:lvl>
    <w:lvl w:ilvl="7" w:tentative="0">
      <w:start w:val="1"/>
      <w:numFmt w:val="lowerLetter"/>
      <w:lvlText w:val="%8)"/>
      <w:lvlJc w:val="left"/>
      <w:pPr>
        <w:ind w:left="4568" w:hanging="480"/>
      </w:pPr>
    </w:lvl>
    <w:lvl w:ilvl="8" w:tentative="0">
      <w:start w:val="1"/>
      <w:numFmt w:val="lowerRoman"/>
      <w:lvlText w:val="%9."/>
      <w:lvlJc w:val="right"/>
      <w:pPr>
        <w:ind w:left="5048" w:hanging="480"/>
      </w:pPr>
    </w:lvl>
  </w:abstractNum>
  <w:abstractNum w:abstractNumId="6">
    <w:nsid w:val="32F510D0"/>
    <w:multiLevelType w:val="multilevel"/>
    <w:tmpl w:val="32F510D0"/>
    <w:lvl w:ilvl="0" w:tentative="0">
      <w:start w:val="1"/>
      <w:numFmt w:val="decimal"/>
      <w:lvlText w:val="%1."/>
      <w:lvlJc w:val="left"/>
      <w:pPr>
        <w:ind w:left="641" w:hanging="480"/>
      </w:pPr>
    </w:lvl>
    <w:lvl w:ilvl="1" w:tentative="0">
      <w:start w:val="1"/>
      <w:numFmt w:val="lowerLetter"/>
      <w:lvlText w:val="%2)"/>
      <w:lvlJc w:val="left"/>
      <w:pPr>
        <w:ind w:left="1121" w:hanging="480"/>
      </w:pPr>
    </w:lvl>
    <w:lvl w:ilvl="2" w:tentative="0">
      <w:start w:val="1"/>
      <w:numFmt w:val="lowerRoman"/>
      <w:lvlText w:val="%3."/>
      <w:lvlJc w:val="right"/>
      <w:pPr>
        <w:ind w:left="1601" w:hanging="480"/>
      </w:pPr>
    </w:lvl>
    <w:lvl w:ilvl="3" w:tentative="0">
      <w:start w:val="1"/>
      <w:numFmt w:val="decimal"/>
      <w:lvlText w:val="%4."/>
      <w:lvlJc w:val="left"/>
      <w:pPr>
        <w:ind w:left="2081" w:hanging="480"/>
      </w:pPr>
    </w:lvl>
    <w:lvl w:ilvl="4" w:tentative="0">
      <w:start w:val="1"/>
      <w:numFmt w:val="lowerLetter"/>
      <w:lvlText w:val="%5)"/>
      <w:lvlJc w:val="left"/>
      <w:pPr>
        <w:ind w:left="2561" w:hanging="480"/>
      </w:pPr>
    </w:lvl>
    <w:lvl w:ilvl="5" w:tentative="0">
      <w:start w:val="1"/>
      <w:numFmt w:val="lowerRoman"/>
      <w:lvlText w:val="%6."/>
      <w:lvlJc w:val="right"/>
      <w:pPr>
        <w:ind w:left="3041" w:hanging="480"/>
      </w:pPr>
    </w:lvl>
    <w:lvl w:ilvl="6" w:tentative="0">
      <w:start w:val="1"/>
      <w:numFmt w:val="decimal"/>
      <w:lvlText w:val="%7."/>
      <w:lvlJc w:val="left"/>
      <w:pPr>
        <w:ind w:left="3521" w:hanging="480"/>
      </w:pPr>
    </w:lvl>
    <w:lvl w:ilvl="7" w:tentative="0">
      <w:start w:val="1"/>
      <w:numFmt w:val="lowerLetter"/>
      <w:lvlText w:val="%8)"/>
      <w:lvlJc w:val="left"/>
      <w:pPr>
        <w:ind w:left="4001" w:hanging="480"/>
      </w:pPr>
    </w:lvl>
    <w:lvl w:ilvl="8" w:tentative="0">
      <w:start w:val="1"/>
      <w:numFmt w:val="lowerRoman"/>
      <w:lvlText w:val="%9."/>
      <w:lvlJc w:val="right"/>
      <w:pPr>
        <w:ind w:left="4481" w:hanging="480"/>
      </w:pPr>
    </w:lvl>
  </w:abstractNum>
  <w:abstractNum w:abstractNumId="7">
    <w:nsid w:val="335B6935"/>
    <w:multiLevelType w:val="multilevel"/>
    <w:tmpl w:val="335B6935"/>
    <w:lvl w:ilvl="0" w:tentative="0">
      <w:start w:val="1"/>
      <w:numFmt w:val="decimal"/>
      <w:lvlText w:val="%1)"/>
      <w:lvlJc w:val="left"/>
      <w:pPr>
        <w:ind w:left="906" w:hanging="480"/>
      </w:pPr>
    </w:lvl>
    <w:lvl w:ilvl="1" w:tentative="0">
      <w:start w:val="1"/>
      <w:numFmt w:val="lowerLetter"/>
      <w:lvlText w:val="%2)"/>
      <w:lvlJc w:val="left"/>
      <w:pPr>
        <w:ind w:left="1386" w:hanging="480"/>
      </w:pPr>
    </w:lvl>
    <w:lvl w:ilvl="2" w:tentative="0">
      <w:start w:val="1"/>
      <w:numFmt w:val="lowerRoman"/>
      <w:lvlText w:val="%3."/>
      <w:lvlJc w:val="right"/>
      <w:pPr>
        <w:ind w:left="1866" w:hanging="480"/>
      </w:pPr>
    </w:lvl>
    <w:lvl w:ilvl="3" w:tentative="0">
      <w:start w:val="1"/>
      <w:numFmt w:val="decimal"/>
      <w:lvlText w:val="%4."/>
      <w:lvlJc w:val="left"/>
      <w:pPr>
        <w:ind w:left="2346" w:hanging="480"/>
      </w:pPr>
    </w:lvl>
    <w:lvl w:ilvl="4" w:tentative="0">
      <w:start w:val="1"/>
      <w:numFmt w:val="lowerLetter"/>
      <w:lvlText w:val="%5)"/>
      <w:lvlJc w:val="left"/>
      <w:pPr>
        <w:ind w:left="2826" w:hanging="480"/>
      </w:pPr>
    </w:lvl>
    <w:lvl w:ilvl="5" w:tentative="0">
      <w:start w:val="1"/>
      <w:numFmt w:val="lowerRoman"/>
      <w:lvlText w:val="%6."/>
      <w:lvlJc w:val="right"/>
      <w:pPr>
        <w:ind w:left="3306" w:hanging="480"/>
      </w:pPr>
    </w:lvl>
    <w:lvl w:ilvl="6" w:tentative="0">
      <w:start w:val="1"/>
      <w:numFmt w:val="decimal"/>
      <w:lvlText w:val="%7."/>
      <w:lvlJc w:val="left"/>
      <w:pPr>
        <w:ind w:left="3786" w:hanging="480"/>
      </w:pPr>
    </w:lvl>
    <w:lvl w:ilvl="7" w:tentative="0">
      <w:start w:val="1"/>
      <w:numFmt w:val="lowerLetter"/>
      <w:lvlText w:val="%8)"/>
      <w:lvlJc w:val="left"/>
      <w:pPr>
        <w:ind w:left="4266" w:hanging="480"/>
      </w:pPr>
    </w:lvl>
    <w:lvl w:ilvl="8" w:tentative="0">
      <w:start w:val="1"/>
      <w:numFmt w:val="lowerRoman"/>
      <w:lvlText w:val="%9."/>
      <w:lvlJc w:val="right"/>
      <w:pPr>
        <w:ind w:left="4746" w:hanging="480"/>
      </w:pPr>
    </w:lvl>
  </w:abstractNum>
  <w:abstractNum w:abstractNumId="8">
    <w:nsid w:val="46700B92"/>
    <w:multiLevelType w:val="multilevel"/>
    <w:tmpl w:val="46700B9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B5365C9"/>
    <w:multiLevelType w:val="multilevel"/>
    <w:tmpl w:val="4B5365C9"/>
    <w:lvl w:ilvl="0" w:tentative="0">
      <w:start w:val="1"/>
      <w:numFmt w:val="chineseCountingThousand"/>
      <w:lvlText w:val="(%1)"/>
      <w:lvlJc w:val="left"/>
      <w:pPr>
        <w:ind w:left="480" w:hanging="480"/>
      </w:pPr>
      <w:rPr>
        <w:rFonts w:hint="eastAsia" w:ascii="宋体" w:hAnsi="宋体" w:eastAsia="宋体"/>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0">
    <w:nsid w:val="5008195B"/>
    <w:multiLevelType w:val="multilevel"/>
    <w:tmpl w:val="5008195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1CE187E"/>
    <w:multiLevelType w:val="multilevel"/>
    <w:tmpl w:val="51CE187E"/>
    <w:lvl w:ilvl="0" w:tentative="0">
      <w:start w:val="1"/>
      <w:numFmt w:val="bullet"/>
      <w:lvlText w:val=""/>
      <w:lvlJc w:val="left"/>
      <w:pPr>
        <w:ind w:left="763" w:hanging="480"/>
      </w:pPr>
      <w:rPr>
        <w:rFonts w:hint="default" w:ascii="Wingdings" w:hAnsi="Wingdings"/>
      </w:rPr>
    </w:lvl>
    <w:lvl w:ilvl="1" w:tentative="0">
      <w:start w:val="1"/>
      <w:numFmt w:val="bullet"/>
      <w:lvlText w:val=""/>
      <w:lvlJc w:val="left"/>
      <w:pPr>
        <w:ind w:left="1440" w:hanging="480"/>
      </w:pPr>
      <w:rPr>
        <w:rFonts w:hint="default" w:ascii="Wingdings" w:hAnsi="Wingdings"/>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12">
    <w:nsid w:val="62D71C35"/>
    <w:multiLevelType w:val="multilevel"/>
    <w:tmpl w:val="62D71C3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84736B0"/>
    <w:multiLevelType w:val="multilevel"/>
    <w:tmpl w:val="684736B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B123D65"/>
    <w:multiLevelType w:val="multilevel"/>
    <w:tmpl w:val="7B123D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EE01B7B"/>
    <w:multiLevelType w:val="multilevel"/>
    <w:tmpl w:val="7EE01B7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9"/>
  </w:num>
  <w:num w:numId="2">
    <w:abstractNumId w:val="8"/>
  </w:num>
  <w:num w:numId="3">
    <w:abstractNumId w:val="2"/>
  </w:num>
  <w:num w:numId="4">
    <w:abstractNumId w:val="10"/>
  </w:num>
  <w:num w:numId="5">
    <w:abstractNumId w:val="12"/>
  </w:num>
  <w:num w:numId="6">
    <w:abstractNumId w:val="13"/>
  </w:num>
  <w:num w:numId="7">
    <w:abstractNumId w:val="0"/>
  </w:num>
  <w:num w:numId="8">
    <w:abstractNumId w:val="15"/>
  </w:num>
  <w:num w:numId="9">
    <w:abstractNumId w:val="4"/>
  </w:num>
  <w:num w:numId="10">
    <w:abstractNumId w:val="6"/>
  </w:num>
  <w:num w:numId="11">
    <w:abstractNumId w:val="14"/>
  </w:num>
  <w:num w:numId="12">
    <w:abstractNumId w:val="7"/>
  </w:num>
  <w:num w:numId="13">
    <w:abstractNumId w:val="5"/>
  </w:num>
  <w:num w:numId="14">
    <w:abstractNumId w:val="11"/>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hideGrammaticalErrors/>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5YjdlMjUxYWE1ZTFiYzZmYWY4OGRhYzAxN2Y4YTcifQ=="/>
    <w:docVar w:name="KSO_WPS_MARK_KEY" w:val="347aa027-d822-4dc0-9f40-a33f5bff4a7d"/>
  </w:docVars>
  <w:rsids>
    <w:rsidRoot w:val="00CA1F12"/>
    <w:rsid w:val="000013D1"/>
    <w:rsid w:val="0000585E"/>
    <w:rsid w:val="00010D31"/>
    <w:rsid w:val="00014986"/>
    <w:rsid w:val="000157A5"/>
    <w:rsid w:val="0001624C"/>
    <w:rsid w:val="00042F31"/>
    <w:rsid w:val="00050397"/>
    <w:rsid w:val="0005043C"/>
    <w:rsid w:val="0005459C"/>
    <w:rsid w:val="00060B0A"/>
    <w:rsid w:val="000707E5"/>
    <w:rsid w:val="00072057"/>
    <w:rsid w:val="0008524D"/>
    <w:rsid w:val="00086AA9"/>
    <w:rsid w:val="00097D33"/>
    <w:rsid w:val="000A3FAD"/>
    <w:rsid w:val="000A6CB6"/>
    <w:rsid w:val="000B2BCA"/>
    <w:rsid w:val="000B3597"/>
    <w:rsid w:val="000B4928"/>
    <w:rsid w:val="000C0192"/>
    <w:rsid w:val="000C0DE7"/>
    <w:rsid w:val="000C2F0E"/>
    <w:rsid w:val="000D368E"/>
    <w:rsid w:val="000D66E7"/>
    <w:rsid w:val="000D6C39"/>
    <w:rsid w:val="000E0E6E"/>
    <w:rsid w:val="000E1474"/>
    <w:rsid w:val="000E41DD"/>
    <w:rsid w:val="000E42A4"/>
    <w:rsid w:val="000F632D"/>
    <w:rsid w:val="00102EA3"/>
    <w:rsid w:val="00105793"/>
    <w:rsid w:val="00110187"/>
    <w:rsid w:val="00111E0A"/>
    <w:rsid w:val="00111E88"/>
    <w:rsid w:val="00117A16"/>
    <w:rsid w:val="00130D93"/>
    <w:rsid w:val="001569E3"/>
    <w:rsid w:val="001617E0"/>
    <w:rsid w:val="00165773"/>
    <w:rsid w:val="00166900"/>
    <w:rsid w:val="001844C3"/>
    <w:rsid w:val="001849DC"/>
    <w:rsid w:val="00192184"/>
    <w:rsid w:val="0019272B"/>
    <w:rsid w:val="00195BE5"/>
    <w:rsid w:val="001A376E"/>
    <w:rsid w:val="001A37C8"/>
    <w:rsid w:val="001A71F8"/>
    <w:rsid w:val="001B44FB"/>
    <w:rsid w:val="001C212B"/>
    <w:rsid w:val="001C282E"/>
    <w:rsid w:val="001D2858"/>
    <w:rsid w:val="001D6C74"/>
    <w:rsid w:val="001E6A49"/>
    <w:rsid w:val="001E785E"/>
    <w:rsid w:val="00223557"/>
    <w:rsid w:val="00230E1E"/>
    <w:rsid w:val="002423CB"/>
    <w:rsid w:val="00245A89"/>
    <w:rsid w:val="00253031"/>
    <w:rsid w:val="00253E8B"/>
    <w:rsid w:val="0027120D"/>
    <w:rsid w:val="00281C30"/>
    <w:rsid w:val="002930C3"/>
    <w:rsid w:val="002A0D70"/>
    <w:rsid w:val="002A124C"/>
    <w:rsid w:val="002A3C2F"/>
    <w:rsid w:val="002A5A08"/>
    <w:rsid w:val="002B141B"/>
    <w:rsid w:val="002B5BD6"/>
    <w:rsid w:val="002C658B"/>
    <w:rsid w:val="002C7E02"/>
    <w:rsid w:val="002E3E08"/>
    <w:rsid w:val="002E4316"/>
    <w:rsid w:val="002F66A0"/>
    <w:rsid w:val="00300031"/>
    <w:rsid w:val="00300737"/>
    <w:rsid w:val="00312798"/>
    <w:rsid w:val="003175B0"/>
    <w:rsid w:val="003252A1"/>
    <w:rsid w:val="003267B7"/>
    <w:rsid w:val="003322EC"/>
    <w:rsid w:val="00341662"/>
    <w:rsid w:val="003475C2"/>
    <w:rsid w:val="00380395"/>
    <w:rsid w:val="00393EC6"/>
    <w:rsid w:val="003A0806"/>
    <w:rsid w:val="003A19B2"/>
    <w:rsid w:val="003A59AB"/>
    <w:rsid w:val="003B6F33"/>
    <w:rsid w:val="003C1E2B"/>
    <w:rsid w:val="003C2F32"/>
    <w:rsid w:val="003C5DE5"/>
    <w:rsid w:val="003D6063"/>
    <w:rsid w:val="003F0B01"/>
    <w:rsid w:val="0040097E"/>
    <w:rsid w:val="0040344F"/>
    <w:rsid w:val="00411A1C"/>
    <w:rsid w:val="004152C1"/>
    <w:rsid w:val="00417865"/>
    <w:rsid w:val="00424424"/>
    <w:rsid w:val="00424BA9"/>
    <w:rsid w:val="004335A2"/>
    <w:rsid w:val="0044666D"/>
    <w:rsid w:val="004601B8"/>
    <w:rsid w:val="00472698"/>
    <w:rsid w:val="004738FC"/>
    <w:rsid w:val="00481F6A"/>
    <w:rsid w:val="0049139D"/>
    <w:rsid w:val="00492500"/>
    <w:rsid w:val="004A1602"/>
    <w:rsid w:val="004D1B83"/>
    <w:rsid w:val="004E2EE2"/>
    <w:rsid w:val="004E3A2A"/>
    <w:rsid w:val="004E6B46"/>
    <w:rsid w:val="004F1739"/>
    <w:rsid w:val="00501B6C"/>
    <w:rsid w:val="00505433"/>
    <w:rsid w:val="00510FAE"/>
    <w:rsid w:val="00515270"/>
    <w:rsid w:val="005220E6"/>
    <w:rsid w:val="00524AD2"/>
    <w:rsid w:val="00535EF8"/>
    <w:rsid w:val="00541820"/>
    <w:rsid w:val="00542B50"/>
    <w:rsid w:val="0055182F"/>
    <w:rsid w:val="0058368B"/>
    <w:rsid w:val="005871DC"/>
    <w:rsid w:val="00595B1D"/>
    <w:rsid w:val="005B5785"/>
    <w:rsid w:val="005C0216"/>
    <w:rsid w:val="005C0E44"/>
    <w:rsid w:val="005C494B"/>
    <w:rsid w:val="005D0BA9"/>
    <w:rsid w:val="005D3663"/>
    <w:rsid w:val="005D3CB4"/>
    <w:rsid w:val="005D68B3"/>
    <w:rsid w:val="005E26F5"/>
    <w:rsid w:val="005F3114"/>
    <w:rsid w:val="006150E3"/>
    <w:rsid w:val="00617E03"/>
    <w:rsid w:val="00622AD6"/>
    <w:rsid w:val="0062361C"/>
    <w:rsid w:val="0063095B"/>
    <w:rsid w:val="0063191C"/>
    <w:rsid w:val="006339DF"/>
    <w:rsid w:val="006348C8"/>
    <w:rsid w:val="006426E7"/>
    <w:rsid w:val="00657609"/>
    <w:rsid w:val="00664320"/>
    <w:rsid w:val="0067450E"/>
    <w:rsid w:val="006865BE"/>
    <w:rsid w:val="00691CE5"/>
    <w:rsid w:val="006962C6"/>
    <w:rsid w:val="006A06A8"/>
    <w:rsid w:val="006A1819"/>
    <w:rsid w:val="006A4736"/>
    <w:rsid w:val="006A7628"/>
    <w:rsid w:val="006B19C2"/>
    <w:rsid w:val="006C6D51"/>
    <w:rsid w:val="006D1AC5"/>
    <w:rsid w:val="006D1F0D"/>
    <w:rsid w:val="006E6C73"/>
    <w:rsid w:val="006F12C4"/>
    <w:rsid w:val="006F31D0"/>
    <w:rsid w:val="0072498F"/>
    <w:rsid w:val="0072580E"/>
    <w:rsid w:val="007265E4"/>
    <w:rsid w:val="00740C93"/>
    <w:rsid w:val="00743798"/>
    <w:rsid w:val="0076716C"/>
    <w:rsid w:val="0077166B"/>
    <w:rsid w:val="007832E9"/>
    <w:rsid w:val="007836C1"/>
    <w:rsid w:val="007955BC"/>
    <w:rsid w:val="007A5D4D"/>
    <w:rsid w:val="007B7968"/>
    <w:rsid w:val="007C7DD2"/>
    <w:rsid w:val="007E5061"/>
    <w:rsid w:val="007E6993"/>
    <w:rsid w:val="007F14AD"/>
    <w:rsid w:val="007F350E"/>
    <w:rsid w:val="007F5BFB"/>
    <w:rsid w:val="00802BB9"/>
    <w:rsid w:val="00804787"/>
    <w:rsid w:val="0081479F"/>
    <w:rsid w:val="00817FCA"/>
    <w:rsid w:val="00823734"/>
    <w:rsid w:val="00823B22"/>
    <w:rsid w:val="00844662"/>
    <w:rsid w:val="0085199F"/>
    <w:rsid w:val="00852990"/>
    <w:rsid w:val="00854511"/>
    <w:rsid w:val="008566A0"/>
    <w:rsid w:val="00860A3E"/>
    <w:rsid w:val="0086150C"/>
    <w:rsid w:val="00863522"/>
    <w:rsid w:val="00872C71"/>
    <w:rsid w:val="00877FDF"/>
    <w:rsid w:val="00887189"/>
    <w:rsid w:val="008B3816"/>
    <w:rsid w:val="008B5BA8"/>
    <w:rsid w:val="008D01CE"/>
    <w:rsid w:val="008D52AF"/>
    <w:rsid w:val="008D6EB2"/>
    <w:rsid w:val="008E2B34"/>
    <w:rsid w:val="008F5AC3"/>
    <w:rsid w:val="00905E20"/>
    <w:rsid w:val="00930B41"/>
    <w:rsid w:val="00932760"/>
    <w:rsid w:val="00933A4D"/>
    <w:rsid w:val="009419D5"/>
    <w:rsid w:val="009440E2"/>
    <w:rsid w:val="00952AC9"/>
    <w:rsid w:val="00957165"/>
    <w:rsid w:val="00974FD3"/>
    <w:rsid w:val="0098696A"/>
    <w:rsid w:val="00996B35"/>
    <w:rsid w:val="009A1DE7"/>
    <w:rsid w:val="009A698D"/>
    <w:rsid w:val="009C70B6"/>
    <w:rsid w:val="009D2447"/>
    <w:rsid w:val="009D5614"/>
    <w:rsid w:val="009E0D3E"/>
    <w:rsid w:val="009F1D63"/>
    <w:rsid w:val="00A2075C"/>
    <w:rsid w:val="00A22416"/>
    <w:rsid w:val="00A36A14"/>
    <w:rsid w:val="00A57D30"/>
    <w:rsid w:val="00A74B44"/>
    <w:rsid w:val="00A8136E"/>
    <w:rsid w:val="00A85428"/>
    <w:rsid w:val="00A8656C"/>
    <w:rsid w:val="00A95F6F"/>
    <w:rsid w:val="00AA08AF"/>
    <w:rsid w:val="00AA2E0C"/>
    <w:rsid w:val="00AA6417"/>
    <w:rsid w:val="00AB3A07"/>
    <w:rsid w:val="00AB572A"/>
    <w:rsid w:val="00AC7AC4"/>
    <w:rsid w:val="00AF1D35"/>
    <w:rsid w:val="00AF4A51"/>
    <w:rsid w:val="00B04327"/>
    <w:rsid w:val="00B10539"/>
    <w:rsid w:val="00B21DBF"/>
    <w:rsid w:val="00B21F67"/>
    <w:rsid w:val="00B27BFB"/>
    <w:rsid w:val="00B30065"/>
    <w:rsid w:val="00B40A24"/>
    <w:rsid w:val="00B44383"/>
    <w:rsid w:val="00B54CEB"/>
    <w:rsid w:val="00B60207"/>
    <w:rsid w:val="00B6458E"/>
    <w:rsid w:val="00B71E05"/>
    <w:rsid w:val="00B72FB8"/>
    <w:rsid w:val="00B83CB1"/>
    <w:rsid w:val="00BA0BE8"/>
    <w:rsid w:val="00BB47D5"/>
    <w:rsid w:val="00BB77A6"/>
    <w:rsid w:val="00BD53FF"/>
    <w:rsid w:val="00C1245C"/>
    <w:rsid w:val="00C338F3"/>
    <w:rsid w:val="00C33A03"/>
    <w:rsid w:val="00C42F2D"/>
    <w:rsid w:val="00C64A94"/>
    <w:rsid w:val="00C73F28"/>
    <w:rsid w:val="00C8017C"/>
    <w:rsid w:val="00CA0468"/>
    <w:rsid w:val="00CA1F12"/>
    <w:rsid w:val="00CA7506"/>
    <w:rsid w:val="00CB086A"/>
    <w:rsid w:val="00CE593C"/>
    <w:rsid w:val="00CF070A"/>
    <w:rsid w:val="00CF7F03"/>
    <w:rsid w:val="00D0010E"/>
    <w:rsid w:val="00D10AB4"/>
    <w:rsid w:val="00D15B1C"/>
    <w:rsid w:val="00D33661"/>
    <w:rsid w:val="00D3471F"/>
    <w:rsid w:val="00D57DD3"/>
    <w:rsid w:val="00D76A3B"/>
    <w:rsid w:val="00D80175"/>
    <w:rsid w:val="00D8766B"/>
    <w:rsid w:val="00D9093F"/>
    <w:rsid w:val="00D941F9"/>
    <w:rsid w:val="00D94B4D"/>
    <w:rsid w:val="00D94E85"/>
    <w:rsid w:val="00D9750E"/>
    <w:rsid w:val="00DA092D"/>
    <w:rsid w:val="00DA3634"/>
    <w:rsid w:val="00DA5E14"/>
    <w:rsid w:val="00DC234C"/>
    <w:rsid w:val="00DC42C3"/>
    <w:rsid w:val="00DD5249"/>
    <w:rsid w:val="00DD6A8F"/>
    <w:rsid w:val="00DE1670"/>
    <w:rsid w:val="00DE739B"/>
    <w:rsid w:val="00E12622"/>
    <w:rsid w:val="00E1337A"/>
    <w:rsid w:val="00E14BAD"/>
    <w:rsid w:val="00E215CA"/>
    <w:rsid w:val="00E23B4E"/>
    <w:rsid w:val="00E43CA6"/>
    <w:rsid w:val="00E53A4B"/>
    <w:rsid w:val="00E629A8"/>
    <w:rsid w:val="00E64843"/>
    <w:rsid w:val="00E67627"/>
    <w:rsid w:val="00E7038D"/>
    <w:rsid w:val="00E93B43"/>
    <w:rsid w:val="00EA7DC8"/>
    <w:rsid w:val="00EB1EC1"/>
    <w:rsid w:val="00EC155C"/>
    <w:rsid w:val="00EC59B4"/>
    <w:rsid w:val="00EC68A9"/>
    <w:rsid w:val="00EC69FD"/>
    <w:rsid w:val="00EE67C0"/>
    <w:rsid w:val="00EE6C62"/>
    <w:rsid w:val="00EF4D72"/>
    <w:rsid w:val="00F0139C"/>
    <w:rsid w:val="00F04D2D"/>
    <w:rsid w:val="00F1157F"/>
    <w:rsid w:val="00F306B5"/>
    <w:rsid w:val="00F308A9"/>
    <w:rsid w:val="00F40FE2"/>
    <w:rsid w:val="00F41033"/>
    <w:rsid w:val="00F5037C"/>
    <w:rsid w:val="00F625EC"/>
    <w:rsid w:val="00F65A38"/>
    <w:rsid w:val="00F83176"/>
    <w:rsid w:val="00F85E38"/>
    <w:rsid w:val="00F90C5D"/>
    <w:rsid w:val="00FA1F05"/>
    <w:rsid w:val="00FA4BF6"/>
    <w:rsid w:val="00FB7E6E"/>
    <w:rsid w:val="00FC2DB0"/>
    <w:rsid w:val="00FC4BC9"/>
    <w:rsid w:val="00FC6332"/>
    <w:rsid w:val="00FD74CC"/>
    <w:rsid w:val="00FF5020"/>
    <w:rsid w:val="1BAE7B0E"/>
    <w:rsid w:val="1D421061"/>
    <w:rsid w:val="2F9C03F4"/>
    <w:rsid w:val="2FBE049B"/>
    <w:rsid w:val="343C48A8"/>
    <w:rsid w:val="365704DC"/>
    <w:rsid w:val="36CF036D"/>
    <w:rsid w:val="3DB72FC9"/>
    <w:rsid w:val="3F481F59"/>
    <w:rsid w:val="4CC43F81"/>
    <w:rsid w:val="4D375093"/>
    <w:rsid w:val="57844E0B"/>
    <w:rsid w:val="59A10140"/>
    <w:rsid w:val="5A5D7822"/>
    <w:rsid w:val="5C3F26AF"/>
    <w:rsid w:val="5E1D58B6"/>
    <w:rsid w:val="6C3542E6"/>
    <w:rsid w:val="74680387"/>
    <w:rsid w:val="74CD3C6D"/>
    <w:rsid w:val="754834CB"/>
    <w:rsid w:val="77F814E2"/>
    <w:rsid w:val="7AA20E97"/>
    <w:rsid w:val="7C1E3C37"/>
    <w:rsid w:val="7C853059"/>
    <w:rsid w:val="7CAB350D"/>
    <w:rsid w:val="7FC71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paragraph" w:styleId="7">
    <w:name w:val="heading 6"/>
    <w:basedOn w:val="1"/>
    <w:next w:val="1"/>
    <w:unhideWhenUsed/>
    <w:qFormat/>
    <w:uiPriority w:val="0"/>
    <w:pPr>
      <w:keepNext/>
      <w:keepLines/>
      <w:spacing w:before="240" w:after="64" w:line="317" w:lineRule="auto"/>
      <w:outlineLvl w:val="5"/>
    </w:pPr>
    <w:rPr>
      <w:rFonts w:ascii="Arial" w:hAnsi="Arial" w:eastAsia="黑体"/>
      <w:b/>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1440"/>
      <w:jc w:val="left"/>
    </w:pPr>
    <w:rPr>
      <w:rFonts w:eastAsiaTheme="minorHAnsi"/>
      <w:sz w:val="20"/>
      <w:szCs w:val="20"/>
    </w:rPr>
  </w:style>
  <w:style w:type="paragraph" w:styleId="9">
    <w:name w:val="Document Map"/>
    <w:basedOn w:val="1"/>
    <w:link w:val="55"/>
    <w:semiHidden/>
    <w:unhideWhenUsed/>
    <w:qFormat/>
    <w:uiPriority w:val="99"/>
    <w:rPr>
      <w:rFonts w:ascii="宋体" w:eastAsia="宋体"/>
    </w:rPr>
  </w:style>
  <w:style w:type="paragraph" w:styleId="10">
    <w:name w:val="toc 5"/>
    <w:basedOn w:val="1"/>
    <w:next w:val="1"/>
    <w:unhideWhenUsed/>
    <w:qFormat/>
    <w:uiPriority w:val="39"/>
    <w:pPr>
      <w:ind w:left="960"/>
      <w:jc w:val="left"/>
    </w:pPr>
    <w:rPr>
      <w:rFonts w:eastAsiaTheme="minorHAnsi"/>
      <w:sz w:val="20"/>
      <w:szCs w:val="20"/>
    </w:rPr>
  </w:style>
  <w:style w:type="paragraph" w:styleId="11">
    <w:name w:val="toc 3"/>
    <w:basedOn w:val="1"/>
    <w:next w:val="1"/>
    <w:unhideWhenUsed/>
    <w:qFormat/>
    <w:uiPriority w:val="39"/>
    <w:pPr>
      <w:ind w:left="480"/>
      <w:jc w:val="left"/>
    </w:pPr>
    <w:rPr>
      <w:rFonts w:eastAsiaTheme="minorHAnsi"/>
      <w:sz w:val="22"/>
      <w:szCs w:val="22"/>
    </w:rPr>
  </w:style>
  <w:style w:type="paragraph" w:styleId="12">
    <w:name w:val="toc 8"/>
    <w:basedOn w:val="1"/>
    <w:next w:val="1"/>
    <w:unhideWhenUsed/>
    <w:qFormat/>
    <w:uiPriority w:val="39"/>
    <w:pPr>
      <w:ind w:left="1680"/>
      <w:jc w:val="left"/>
    </w:pPr>
    <w:rPr>
      <w:rFonts w:eastAsiaTheme="minorHAnsi"/>
      <w:sz w:val="20"/>
      <w:szCs w:val="20"/>
    </w:rPr>
  </w:style>
  <w:style w:type="paragraph" w:styleId="13">
    <w:name w:val="Balloon Text"/>
    <w:basedOn w:val="1"/>
    <w:link w:val="56"/>
    <w:semiHidden/>
    <w:unhideWhenUsed/>
    <w:qFormat/>
    <w:uiPriority w:val="99"/>
    <w:rPr>
      <w:rFonts w:ascii="宋体" w:eastAsia="宋体"/>
      <w:sz w:val="18"/>
      <w:szCs w:val="18"/>
    </w:rPr>
  </w:style>
  <w:style w:type="paragraph" w:styleId="14">
    <w:name w:val="footer"/>
    <w:basedOn w:val="1"/>
    <w:unhideWhenUsed/>
    <w:qFormat/>
    <w:uiPriority w:val="99"/>
    <w:pPr>
      <w:tabs>
        <w:tab w:val="center" w:pos="4153"/>
        <w:tab w:val="right" w:pos="8306"/>
      </w:tabs>
      <w:snapToGrid w:val="0"/>
      <w:jc w:val="left"/>
    </w:pPr>
    <w:rPr>
      <w:sz w:val="18"/>
    </w:rPr>
  </w:style>
  <w:style w:type="paragraph" w:styleId="1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unhideWhenUsed/>
    <w:qFormat/>
    <w:uiPriority w:val="39"/>
    <w:pPr>
      <w:spacing w:before="120"/>
      <w:jc w:val="left"/>
    </w:pPr>
    <w:rPr>
      <w:rFonts w:eastAsiaTheme="minorHAnsi"/>
      <w:b/>
    </w:rPr>
  </w:style>
  <w:style w:type="paragraph" w:styleId="17">
    <w:name w:val="toc 4"/>
    <w:basedOn w:val="1"/>
    <w:next w:val="1"/>
    <w:unhideWhenUsed/>
    <w:qFormat/>
    <w:uiPriority w:val="39"/>
    <w:pPr>
      <w:ind w:left="720"/>
      <w:jc w:val="left"/>
    </w:pPr>
    <w:rPr>
      <w:rFonts w:eastAsiaTheme="minorHAnsi"/>
      <w:sz w:val="20"/>
      <w:szCs w:val="20"/>
    </w:rPr>
  </w:style>
  <w:style w:type="paragraph" w:styleId="18">
    <w:name w:val="toc 6"/>
    <w:basedOn w:val="1"/>
    <w:next w:val="1"/>
    <w:unhideWhenUsed/>
    <w:qFormat/>
    <w:uiPriority w:val="39"/>
    <w:pPr>
      <w:ind w:left="1200"/>
      <w:jc w:val="left"/>
    </w:pPr>
    <w:rPr>
      <w:rFonts w:eastAsiaTheme="minorHAnsi"/>
      <w:sz w:val="20"/>
      <w:szCs w:val="20"/>
    </w:rPr>
  </w:style>
  <w:style w:type="paragraph" w:styleId="19">
    <w:name w:val="toc 2"/>
    <w:basedOn w:val="1"/>
    <w:next w:val="1"/>
    <w:unhideWhenUsed/>
    <w:qFormat/>
    <w:uiPriority w:val="39"/>
    <w:pPr>
      <w:ind w:left="240"/>
      <w:jc w:val="left"/>
    </w:pPr>
    <w:rPr>
      <w:rFonts w:eastAsiaTheme="minorHAnsi"/>
      <w:b/>
      <w:sz w:val="22"/>
      <w:szCs w:val="22"/>
    </w:rPr>
  </w:style>
  <w:style w:type="paragraph" w:styleId="20">
    <w:name w:val="toc 9"/>
    <w:basedOn w:val="1"/>
    <w:next w:val="1"/>
    <w:unhideWhenUsed/>
    <w:qFormat/>
    <w:uiPriority w:val="39"/>
    <w:pPr>
      <w:ind w:left="1920"/>
      <w:jc w:val="left"/>
    </w:pPr>
    <w:rPr>
      <w:rFonts w:eastAsiaTheme="minorHAnsi"/>
      <w:sz w:val="20"/>
      <w:szCs w:val="20"/>
    </w:rPr>
  </w:style>
  <w:style w:type="paragraph" w:styleId="21">
    <w:name w:val="HTML Preformatted"/>
    <w:basedOn w:val="1"/>
    <w:link w:val="3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22">
    <w:name w:val="Normal (Web)"/>
    <w:basedOn w:val="1"/>
    <w:semiHidden/>
    <w:unhideWhenUsed/>
    <w:qFormat/>
    <w:uiPriority w:val="99"/>
    <w:pPr>
      <w:spacing w:beforeAutospacing="1" w:afterAutospacing="1"/>
      <w:jc w:val="left"/>
    </w:pPr>
    <w:rPr>
      <w:rFonts w:ascii="Times New Roman" w:hAnsi="Times New Roman" w:cs="Times New Roman"/>
      <w:kern w:val="0"/>
    </w:rPr>
  </w:style>
  <w:style w:type="paragraph" w:styleId="23">
    <w:name w:val="Title"/>
    <w:basedOn w:val="1"/>
    <w:next w:val="1"/>
    <w:link w:val="31"/>
    <w:qFormat/>
    <w:uiPriority w:val="10"/>
    <w:pPr>
      <w:spacing w:before="240" w:after="60"/>
      <w:jc w:val="center"/>
      <w:outlineLvl w:val="0"/>
    </w:pPr>
    <w:rPr>
      <w:rFonts w:eastAsia="宋体" w:asciiTheme="majorHAnsi" w:hAnsiTheme="majorHAnsi" w:cstheme="majorBidi"/>
      <w:b/>
      <w:bCs/>
      <w:sz w:val="32"/>
      <w:szCs w:val="32"/>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Emphasis"/>
    <w:basedOn w:val="26"/>
    <w:qFormat/>
    <w:uiPriority w:val="20"/>
    <w:rPr>
      <w:i/>
    </w:rPr>
  </w:style>
  <w:style w:type="character" w:styleId="29">
    <w:name w:val="Hyperlink"/>
    <w:basedOn w:val="26"/>
    <w:unhideWhenUsed/>
    <w:qFormat/>
    <w:uiPriority w:val="99"/>
    <w:rPr>
      <w:color w:val="0000FF"/>
      <w:u w:val="single"/>
    </w:rPr>
  </w:style>
  <w:style w:type="character" w:styleId="30">
    <w:name w:val="HTML Code"/>
    <w:basedOn w:val="26"/>
    <w:semiHidden/>
    <w:unhideWhenUsed/>
    <w:qFormat/>
    <w:uiPriority w:val="99"/>
    <w:rPr>
      <w:rFonts w:ascii="Courier New" w:hAnsi="Courier New" w:cs="Courier New" w:eastAsiaTheme="minorEastAsia"/>
      <w:sz w:val="20"/>
      <w:szCs w:val="20"/>
    </w:rPr>
  </w:style>
  <w:style w:type="character" w:customStyle="1" w:styleId="31">
    <w:name w:val="标题 字符"/>
    <w:basedOn w:val="26"/>
    <w:link w:val="23"/>
    <w:qFormat/>
    <w:uiPriority w:val="10"/>
    <w:rPr>
      <w:rFonts w:eastAsia="宋体" w:asciiTheme="majorHAnsi" w:hAnsiTheme="majorHAnsi" w:cstheme="majorBidi"/>
      <w:b/>
      <w:bCs/>
      <w:sz w:val="32"/>
      <w:szCs w:val="32"/>
    </w:rPr>
  </w:style>
  <w:style w:type="paragraph" w:styleId="32">
    <w:name w:val="List Paragraph"/>
    <w:basedOn w:val="1"/>
    <w:qFormat/>
    <w:uiPriority w:val="34"/>
    <w:pPr>
      <w:ind w:firstLine="420" w:firstLineChars="200"/>
    </w:pPr>
  </w:style>
  <w:style w:type="character" w:customStyle="1" w:styleId="33">
    <w:name w:val="标题 1 字符"/>
    <w:basedOn w:val="26"/>
    <w:link w:val="2"/>
    <w:qFormat/>
    <w:uiPriority w:val="9"/>
    <w:rPr>
      <w:b/>
      <w:bCs/>
      <w:kern w:val="44"/>
      <w:sz w:val="44"/>
      <w:szCs w:val="44"/>
    </w:rPr>
  </w:style>
  <w:style w:type="character" w:customStyle="1" w:styleId="34">
    <w:name w:val="标题 2 字符"/>
    <w:basedOn w:val="26"/>
    <w:link w:val="3"/>
    <w:qFormat/>
    <w:uiPriority w:val="9"/>
    <w:rPr>
      <w:rFonts w:asciiTheme="majorHAnsi" w:hAnsiTheme="majorHAnsi" w:eastAsiaTheme="majorEastAsia" w:cstheme="majorBidi"/>
      <w:b/>
      <w:bCs/>
      <w:sz w:val="32"/>
      <w:szCs w:val="32"/>
    </w:rPr>
  </w:style>
  <w:style w:type="character" w:customStyle="1" w:styleId="35">
    <w:name w:val="标题 3 字符"/>
    <w:basedOn w:val="26"/>
    <w:link w:val="4"/>
    <w:qFormat/>
    <w:uiPriority w:val="9"/>
    <w:rPr>
      <w:b/>
      <w:bCs/>
      <w:sz w:val="32"/>
      <w:szCs w:val="32"/>
    </w:rPr>
  </w:style>
  <w:style w:type="character" w:customStyle="1" w:styleId="36">
    <w:name w:val="HTML 预设格式 字符"/>
    <w:basedOn w:val="26"/>
    <w:link w:val="21"/>
    <w:qFormat/>
    <w:uiPriority w:val="99"/>
    <w:rPr>
      <w:rFonts w:ascii="Courier New" w:hAnsi="Courier New" w:cs="Courier New"/>
      <w:kern w:val="0"/>
      <w:sz w:val="20"/>
      <w:szCs w:val="20"/>
    </w:rPr>
  </w:style>
  <w:style w:type="table" w:customStyle="1" w:styleId="37">
    <w:name w:val="浅色网格型1"/>
    <w:basedOn w:val="2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38">
    <w:name w:val="普通表格 11"/>
    <w:basedOn w:val="2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
    <w:name w:val="普通表格 21"/>
    <w:basedOn w:val="24"/>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0">
    <w:name w:val="普通表格 31"/>
    <w:basedOn w:val="24"/>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1">
    <w:name w:val="普通表格 41"/>
    <w:basedOn w:val="24"/>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2">
    <w:name w:val="普通表格 51"/>
    <w:basedOn w:val="24"/>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3">
    <w:name w:val="网格表 1 浅色1"/>
    <w:basedOn w:val="2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4">
    <w:name w:val="网格表 1 浅色 - 强调文字颜色 11"/>
    <w:basedOn w:val="24"/>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5">
    <w:name w:val="网格表 2 - 强调文字颜色 11"/>
    <w:basedOn w:val="24"/>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
    <w:name w:val="网格表 2 - 强调文字颜色 21"/>
    <w:basedOn w:val="24"/>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7">
    <w:name w:val="网格表 2 - 强调文字颜色 31"/>
    <w:basedOn w:val="24"/>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8">
    <w:name w:val="网格表 2 - 强调文字颜色 41"/>
    <w:basedOn w:val="24"/>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9">
    <w:name w:val="网格表 5 深色1"/>
    <w:basedOn w:val="2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50">
    <w:name w:val="网格表 5 深色 - 强调文字颜色 11"/>
    <w:basedOn w:val="2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51">
    <w:name w:val="网格表 5 深色 - 强调文字颜色 21"/>
    <w:basedOn w:val="2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52">
    <w:name w:val="网格表 5 深色 - 强调文字颜色 31"/>
    <w:basedOn w:val="2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53">
    <w:name w:val="网格表 3 - 强调文字颜色 31"/>
    <w:basedOn w:val="24"/>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54">
    <w:name w:val="网格表 4 - 强调文字颜色 51"/>
    <w:basedOn w:val="24"/>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character" w:customStyle="1" w:styleId="55">
    <w:name w:val="文档结构图 字符"/>
    <w:basedOn w:val="26"/>
    <w:link w:val="9"/>
    <w:semiHidden/>
    <w:qFormat/>
    <w:uiPriority w:val="99"/>
    <w:rPr>
      <w:rFonts w:ascii="宋体" w:eastAsia="宋体"/>
    </w:rPr>
  </w:style>
  <w:style w:type="character" w:customStyle="1" w:styleId="56">
    <w:name w:val="批注框文本 字符"/>
    <w:basedOn w:val="26"/>
    <w:link w:val="13"/>
    <w:semiHidden/>
    <w:qFormat/>
    <w:uiPriority w:val="99"/>
    <w:rPr>
      <w:rFonts w:ascii="宋体" w:eastAsia="宋体"/>
      <w:sz w:val="18"/>
      <w:szCs w:val="18"/>
    </w:rPr>
  </w:style>
  <w:style w:type="paragraph" w:customStyle="1" w:styleId="57">
    <w:name w:val="Char2"/>
    <w:basedOn w:val="1"/>
    <w:qFormat/>
    <w:uiPriority w:val="0"/>
    <w:pPr>
      <w:adjustRightInd w:val="0"/>
      <w:spacing w:line="360" w:lineRule="atLeast"/>
      <w:textAlignment w:val="baseline"/>
    </w:pPr>
    <w:rPr>
      <w:rFonts w:ascii="Arial" w:hAnsi="Arial" w:cs="Arial"/>
      <w:sz w:val="20"/>
      <w:szCs w:val="20"/>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2183</Words>
  <Characters>2474</Characters>
  <Lines>93</Lines>
  <Paragraphs>26</Paragraphs>
  <TotalTime>0</TotalTime>
  <ScaleCrop>false</ScaleCrop>
  <LinksUpToDate>false</LinksUpToDate>
  <CharactersWithSpaces>2510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2024-12-18T08:39:00Z</dcterms:created>
  <dc:creator>Microsoft Office 用户</dc:creator>
  <cp:lastModifiedBy>高成</cp:lastModifiedBy>
  <cp:lastPrinted>2020-05-19T05:38:00Z</cp:lastPrinted>
  <dcterms:modified xsi:type="dcterms:W3CDTF">2024-12-19T07:02:38Z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CABEF94BD7254B9286BFAF2DCE963848_13</vt:lpwstr>
  </property>
  <property fmtid="{D5CDD505-2E9C-101B-9397-08002B2CF9AE}" pid="4" name="KSOTemplateDocerSaveRecord">
    <vt:lpwstr>eyJoZGlkIjoiMmU2M2NiYTEwMmViNmU1ZGJhYzZmZWQ5ZjU0YmVhMDEiLCJ1c2VySWQiOiI2MDQyOTMxNjgifQ==</vt:lpwstr>
  </property>
</Properties>
</file>