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5305791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2D5034E4"/>
    <w:rsid w:val="350C442A"/>
    <w:rsid w:val="353A55E3"/>
    <w:rsid w:val="38D812D2"/>
    <w:rsid w:val="3C9157EA"/>
    <w:rsid w:val="3F204B9F"/>
    <w:rsid w:val="43C967C1"/>
    <w:rsid w:val="4D170188"/>
    <w:rsid w:val="553E6869"/>
    <w:rsid w:val="61466DA4"/>
    <w:rsid w:val="62061760"/>
    <w:rsid w:val="63164E21"/>
    <w:rsid w:val="64145C3D"/>
    <w:rsid w:val="65DC68AD"/>
    <w:rsid w:val="665B4BF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2025-06-19T08:06:00Z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4C6B12DF9308402BB10AC541D234FA7B_13</vt:lpwstr>
  </property>
</Properties>
</file>