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CAC2">
      <w:pPr>
        <w:pStyle w:val="2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城市治理*数据要素场景服务</w:t>
      </w:r>
    </w:p>
    <w:p w14:paraId="4D37C89E">
      <w:pPr>
        <w:pStyle w:val="2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操作指南</w:t>
      </w:r>
    </w:p>
    <w:p w14:paraId="7E425737">
      <w:pPr>
        <w:pStyle w:val="3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</w:rPr>
        <w:t>服务内容概述</w:t>
      </w:r>
      <w:r>
        <w:rPr>
          <w:rFonts w:hint="eastAsia"/>
          <w:lang w:eastAsia="zh-CN"/>
        </w:rPr>
        <w:t>：</w:t>
      </w:r>
    </w:p>
    <w:p w14:paraId="16E7138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聚焦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城市视图数据（如视频监控、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各类影像数据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等）为核心要素，为政府部门、城市运营商、数据开发商等参与主体，提供覆盖数据要素全生命周期的专业化服务，推动城市治理智能化升级。</w:t>
      </w:r>
    </w:p>
    <w:p w14:paraId="17FED041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城市治理*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数据要素专业能力服务涵盖多个层面，包括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城市视图数据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咨询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、视图数据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资源化服务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。服务将满足数据要素各类参与主体在数据要素领域的多样化需求，从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咨询服务，数据标注，数据清洗治理，数据产品加工，产品质量评估，以及配合数据要素资产登记和价值评估等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，为用户提供全方位的支持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719B9103">
      <w:pPr>
        <w:pStyle w:val="3"/>
        <w:numPr>
          <w:ilvl w:val="0"/>
          <w:numId w:val="1"/>
        </w:numPr>
        <w:bidi w:val="0"/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主要服务内容</w:t>
      </w:r>
    </w:p>
    <w:p w14:paraId="2243EF26">
      <w:pPr>
        <w:pStyle w:val="4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数据</w:t>
      </w:r>
      <w:r>
        <w:rPr>
          <w:rFonts w:hint="eastAsia"/>
          <w:lang w:val="en-US" w:eastAsia="zh-CN"/>
        </w:rPr>
        <w:t>要素</w:t>
      </w:r>
      <w:r>
        <w:rPr>
          <w:rFonts w:hint="eastAsia"/>
          <w:lang w:eastAsia="zh-CN"/>
        </w:rPr>
        <w:t>服务咨询</w:t>
      </w:r>
    </w:p>
    <w:p w14:paraId="511A04EA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数据要素方案规划</w:t>
      </w:r>
    </w:p>
    <w:p w14:paraId="65A6DA5C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数据要素治理方案</w:t>
      </w:r>
    </w:p>
    <w:p w14:paraId="60818598">
      <w:pPr>
        <w:pStyle w:val="4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数据</w:t>
      </w:r>
      <w:r>
        <w:rPr>
          <w:rFonts w:hint="eastAsia"/>
          <w:lang w:val="en-US" w:eastAsia="zh-CN"/>
        </w:rPr>
        <w:t>要素</w:t>
      </w:r>
      <w:r>
        <w:rPr>
          <w:rFonts w:hint="eastAsia"/>
          <w:lang w:eastAsia="zh-CN"/>
        </w:rPr>
        <w:t>资源化服务</w:t>
      </w:r>
    </w:p>
    <w:p w14:paraId="15739AE3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视图数据标注</w:t>
      </w:r>
    </w:p>
    <w:p w14:paraId="1F46C55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数据深度治理</w:t>
      </w:r>
    </w:p>
    <w:p w14:paraId="1C31E62C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数据产品加工</w:t>
      </w:r>
    </w:p>
    <w:p w14:paraId="3CE6F8A1">
      <w:pPr>
        <w:pStyle w:val="3"/>
        <w:numPr>
          <w:ilvl w:val="0"/>
          <w:numId w:val="1"/>
        </w:numPr>
        <w:bidi w:val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>服务流程：</w:t>
      </w:r>
    </w:p>
    <w:p w14:paraId="26F06A85">
      <w:pPr>
        <w:pStyle w:val="4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需求分析</w:t>
      </w:r>
    </w:p>
    <w:p w14:paraId="052AFC21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与客户深度沟通，梳理业务流程与核心目标</w:t>
      </w:r>
    </w:p>
    <w:p w14:paraId="42ECC467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调研城市数据要素治理场景痛点</w:t>
      </w:r>
    </w:p>
    <w:p w14:paraId="393E6F53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明确跨部门数据融合需求与治理目标优先级</w:t>
      </w:r>
    </w:p>
    <w:p w14:paraId="697D849B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明确功能需求及非功能需求</w:t>
      </w:r>
    </w:p>
    <w:p w14:paraId="379D0E94">
      <w:pPr>
        <w:pStyle w:val="4"/>
        <w:numPr>
          <w:ilvl w:val="0"/>
          <w:numId w:val="3"/>
        </w:numPr>
        <w:bidi w:val="0"/>
        <w:rPr>
          <w:rFonts w:hint="eastAsia"/>
          <w:b/>
        </w:rPr>
      </w:pPr>
      <w:r>
        <w:rPr>
          <w:rFonts w:hint="eastAsia"/>
          <w:b/>
        </w:rPr>
        <w:t>详细设计</w:t>
      </w:r>
    </w:p>
    <w:p w14:paraId="0820593E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构建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城市数据治理架构</w:t>
      </w:r>
    </w:p>
    <w:p w14:paraId="7B443BD2"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规划数据要素生产流程和目标</w:t>
      </w:r>
    </w:p>
    <w:p w14:paraId="684634CB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设计系统技术架构与模块划分</w:t>
      </w:r>
    </w:p>
    <w:p w14:paraId="39421644">
      <w:pPr>
        <w:pStyle w:val="4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b/>
        </w:rPr>
        <w:t>数据</w:t>
      </w:r>
      <w:r>
        <w:rPr>
          <w:rFonts w:hint="eastAsia"/>
          <w:b/>
          <w:lang w:val="en-US" w:eastAsia="zh-CN"/>
        </w:rPr>
        <w:t>要素</w:t>
      </w:r>
      <w:r>
        <w:rPr>
          <w:rFonts w:hint="eastAsia"/>
          <w:b/>
        </w:rPr>
        <w:t>治理实施</w:t>
      </w:r>
    </w:p>
    <w:p w14:paraId="083ABCD7">
      <w:pPr>
        <w:numPr>
          <w:ilvl w:val="0"/>
          <w:numId w:val="4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核心治理操作：</w:t>
      </w:r>
    </w:p>
    <w:p w14:paraId="2357005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视图数据标注与清洗</w:t>
      </w:r>
    </w:p>
    <w:p w14:paraId="3DA226F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敏感信息脱敏与分级分类</w:t>
      </w:r>
    </w:p>
    <w:p w14:paraId="0ACDA6D5">
      <w:pPr>
        <w:numPr>
          <w:ilvl w:val="0"/>
          <w:numId w:val="4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数据质量管控：</w:t>
      </w:r>
    </w:p>
    <w:p w14:paraId="0834D69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完整性校验规则库建设</w:t>
      </w:r>
    </w:p>
    <w:p w14:paraId="03366DC5"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数据质量测试与验证</w:t>
      </w:r>
    </w:p>
    <w:p w14:paraId="5E7D354A">
      <w:pPr>
        <w:pStyle w:val="4"/>
        <w:numPr>
          <w:ilvl w:val="0"/>
          <w:numId w:val="3"/>
        </w:numPr>
        <w:bidi w:val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>数据要素产品开发</w:t>
      </w:r>
    </w:p>
    <w:p w14:paraId="6DAD1EC0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城市治理专用数据产品开发</w:t>
      </w:r>
    </w:p>
    <w:p w14:paraId="2B194AD5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数据产品场景有效性测试</w:t>
      </w:r>
    </w:p>
    <w:p w14:paraId="1FE5DEDF">
      <w:pPr>
        <w:pStyle w:val="4"/>
        <w:numPr>
          <w:ilvl w:val="0"/>
          <w:numId w:val="3"/>
        </w:numPr>
        <w:bidi w:val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>交付与赋能</w:t>
      </w:r>
    </w:p>
    <w:p w14:paraId="5CED8345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城市治理数据资产产品部署</w:t>
      </w:r>
    </w:p>
    <w:p w14:paraId="3FCC379B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数据产品应用培训</w:t>
      </w:r>
    </w:p>
    <w:p w14:paraId="693AE429">
      <w:pPr>
        <w:pStyle w:val="4"/>
        <w:numPr>
          <w:ilvl w:val="0"/>
          <w:numId w:val="3"/>
        </w:numPr>
        <w:bidi w:val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>核心交付物</w:t>
      </w:r>
    </w:p>
    <w:p w14:paraId="7FCE6437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城市治理数据资源目录</w:t>
      </w:r>
    </w:p>
    <w:p w14:paraId="515BC5B9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城市治理数据实施报告</w:t>
      </w:r>
    </w:p>
    <w:p w14:paraId="79A2BCDB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城市治理数据产品说明书</w:t>
      </w:r>
    </w:p>
    <w:p w14:paraId="44A34A0A">
      <w:pPr>
        <w:pStyle w:val="3"/>
        <w:numPr>
          <w:ilvl w:val="0"/>
          <w:numId w:val="1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购买流程</w:t>
      </w:r>
    </w:p>
    <w:p w14:paraId="7C285034">
      <w:pPr>
        <w:numPr>
          <w:ilvl w:val="0"/>
          <w:numId w:val="5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服务购买</w:t>
      </w:r>
    </w:p>
    <w:p w14:paraId="1EFBA8C6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客户通过云商店选定服务并下单</w:t>
      </w:r>
    </w:p>
    <w:p w14:paraId="131263B6">
      <w:pPr>
        <w:numPr>
          <w:ilvl w:val="0"/>
          <w:numId w:val="5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需求对接</w:t>
      </w:r>
    </w:p>
    <w:p w14:paraId="2F87B225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客户经理初步沟通业务场景与核心诉求</w:t>
      </w:r>
    </w:p>
    <w:p w14:paraId="5B803A6C">
      <w:pPr>
        <w:numPr>
          <w:ilvl w:val="0"/>
          <w:numId w:val="5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需求分析</w:t>
      </w:r>
    </w:p>
    <w:p w14:paraId="5DDA9550"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专业团队调研，输出需求文档</w:t>
      </w:r>
    </w:p>
    <w:p w14:paraId="0BFD86D8">
      <w:pPr>
        <w:numPr>
          <w:ilvl w:val="0"/>
          <w:numId w:val="5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详细设计</w:t>
      </w:r>
    </w:p>
    <w:p w14:paraId="71A7884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编制详细设计方案和建设内容</w:t>
      </w:r>
    </w:p>
    <w:p w14:paraId="3B353F0A">
      <w:pPr>
        <w:numPr>
          <w:ilvl w:val="0"/>
          <w:numId w:val="5"/>
        </w:numPr>
        <w:ind w:left="420" w:leftChars="0" w:hanging="420" w:firstLine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产品开发</w:t>
      </w:r>
    </w:p>
    <w:p w14:paraId="1B8793ED"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根据需求与方案开发数据产品</w:t>
      </w:r>
    </w:p>
    <w:p w14:paraId="2D379FA7">
      <w:pPr>
        <w:numPr>
          <w:ilvl w:val="0"/>
          <w:numId w:val="5"/>
        </w:numPr>
        <w:ind w:left="420" w:leftChars="0" w:hanging="420" w:firstLine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质量与合规验证</w:t>
      </w:r>
    </w:p>
    <w:p w14:paraId="769B54DC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产品功能场景测试</w:t>
      </w:r>
    </w:p>
    <w:p w14:paraId="13E22C99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数据产品交付测试</w:t>
      </w:r>
    </w:p>
    <w:p w14:paraId="13C12815">
      <w:pPr>
        <w:numPr>
          <w:ilvl w:val="0"/>
          <w:numId w:val="5"/>
        </w:numPr>
        <w:ind w:left="420" w:leftChars="0" w:hanging="420" w:firstLine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交付与培训</w:t>
      </w:r>
    </w:p>
    <w:p w14:paraId="778EDF3F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数据要素产品库移交</w:t>
      </w:r>
    </w:p>
    <w:p w14:paraId="599B40DE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定制化用户培训课程</w:t>
      </w:r>
    </w:p>
    <w:p w14:paraId="1D5C9E47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维护与升级</w:t>
      </w:r>
      <w:bookmarkStart w:id="0" w:name="_GoBack"/>
      <w:bookmarkEnd w:id="0"/>
    </w:p>
    <w:p w14:paraId="7AADC191">
      <w:pPr>
        <w:ind w:firstLine="560" w:firstLineChars="200"/>
        <w:rPr>
          <w:rFonts w:hint="default" w:ascii="微软雅黑" w:hAnsi="微软雅黑" w:eastAsia="微软雅黑" w:cs="微软雅黑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持续优化服务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7E07F"/>
    <w:multiLevelType w:val="multilevel"/>
    <w:tmpl w:val="D5C7E07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02EE6D4A"/>
    <w:multiLevelType w:val="singleLevel"/>
    <w:tmpl w:val="02EE6D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847ADA"/>
    <w:multiLevelType w:val="singleLevel"/>
    <w:tmpl w:val="0C847A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DDD6C64"/>
    <w:multiLevelType w:val="singleLevel"/>
    <w:tmpl w:val="0DDD6C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6247177"/>
    <w:multiLevelType w:val="singleLevel"/>
    <w:tmpl w:val="362471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2D8F"/>
    <w:rsid w:val="1ED3045A"/>
    <w:rsid w:val="248719C1"/>
    <w:rsid w:val="58356FFE"/>
    <w:rsid w:val="6A3F1803"/>
    <w:rsid w:val="765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739</Characters>
  <Lines>0</Lines>
  <Paragraphs>0</Paragraphs>
  <TotalTime>0</TotalTime>
  <ScaleCrop>false</ScaleCrop>
  <LinksUpToDate>false</LinksUpToDate>
  <CharactersWithSpaces>740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2025-06-26T01:59:00Z</dcterms:created>
  <dc:creator>huawei</dc:creator>
  <cp:lastModifiedBy>神经蛙</cp:lastModifiedBy>
  <dcterms:modified xsi:type="dcterms:W3CDTF">2025-06-26T03:00:13Z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eyJoZGlkIjoiNjYwYzgyMWExN2VkZDNhNjgyYmMwZWYxNzdkOGUxYTgiLCJ1c2VySWQiOiIxMjA5NjgyMTU3In0=</vt:lpwstr>
  </property>
  <property fmtid="{D5CDD505-2E9C-101B-9397-08002B2CF9AE}" pid="4" name="ICV">
    <vt:lpwstr>272D7F8F0ACB45D8972425244F912C2C_12</vt:lpwstr>
  </property>
</Properties>
</file>