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F63A">
      <w:pPr>
        <w:pStyle w:val="15"/>
      </w:pPr>
      <mc:AlternateContent>
        <mc:Choice Requires="wpsCustomData">
          <wpsCustomData:docfieldStart id="0" docfieldname="标题_1" hidden="0" print="1" readonly="0" index="4"/>
        </mc:Choice>
      </mc:AlternateContent>
      <w:r>
        <w:t>商标服务注册流程</w:t>
      </w:r>
      <mc:AlternateContent>
        <mc:Choice Requires="wpsCustomData">
          <wpsCustomData:docfieldEnd id="0"/>
        </mc:Choice>
      </mc:AlternateContent>
    </w:p>
    <w:p w14:paraId="6DCD48E6">
      <w:pPr>
        <w:pStyle w:val="11"/>
        <w:bidi w:val="0"/>
        <w:spacing w:beforeAutospacing="0" w:afterAutospacing="0" w:line="300" w:lineRule="exact"/>
      </w:pPr>
    </w:p>
    <w:p w14:paraId="533096E4">
      <w:pPr>
        <w:pStyle w:val="2"/>
        <w:numPr>
          <w:ilvl w:val="0"/>
          <w:numId w:val="1"/>
        </w:numPr>
        <w:topLinePunct w:val="0"/>
        <w:ind w:left="0" w:leftChars="0" w:firstLine="640" w:firstLineChars="0"/>
        <w:rPr>
          <w:b w:val="0"/>
          <w:bdr w:val="none" w:sz="0" w:space="0"/>
        </w:rPr>
      </w:pPr>
      <w:r>
        <w:t>资料收集与确认（1–3个工作日）</w:t>
      </w:r>
    </w:p>
    <w:p w14:paraId="3F8C1EF2">
      <w:pPr>
        <w:pStyle w:val="11"/>
      </w:pPr>
      <w:r>
        <w:rPr>
          <w:rStyle w:val="18"/>
        </w:rPr>
        <w:t>客户配合</w:t>
      </w:r>
      <w:r>
        <w:t>：提供申请人信息（个人／企业）、商标图样、商品／服务类别等。</w:t>
      </w:r>
    </w:p>
    <w:p w14:paraId="4C60D15D">
      <w:pPr>
        <w:pStyle w:val="11"/>
      </w:pPr>
      <w:r>
        <w:rPr>
          <w:rStyle w:val="18"/>
        </w:rPr>
        <w:t>顾问审核</w:t>
      </w:r>
      <w:r>
        <w:t>：服务机构对资料完整性、合规性进行初步审查。</w:t>
      </w:r>
    </w:p>
    <w:p w14:paraId="55C0F6D5">
      <w:pPr>
        <w:pStyle w:val="11"/>
      </w:pPr>
      <w:r>
        <w:rPr>
          <w:rStyle w:val="18"/>
        </w:rPr>
        <w:t>签署委托书（如需）</w:t>
      </w:r>
      <w:r>
        <w:t>：若通过代理机构办理，需签署《商标代理委托书》。</w:t>
      </w:r>
    </w:p>
    <w:p w14:paraId="6678404D">
      <w:pPr>
        <w:pStyle w:val="2"/>
        <w:numPr>
          <w:ilvl w:val="0"/>
          <w:numId w:val="1"/>
        </w:numPr>
        <w:topLinePunct w:val="0"/>
        <w:ind w:left="0" w:leftChars="0" w:firstLine="640" w:firstLineChars="0"/>
        <w:rPr>
          <w:b w:val="0"/>
          <w:bdr w:val="none" w:sz="0" w:space="0"/>
        </w:rPr>
      </w:pPr>
      <w:r>
        <w:t>商标查询与风险评估（可选但建议，1–2个工作日）</w:t>
      </w:r>
    </w:p>
    <w:p w14:paraId="300B2C87">
      <w:pPr>
        <w:pStyle w:val="11"/>
      </w:pPr>
      <w:r>
        <w:rPr>
          <w:rStyle w:val="18"/>
        </w:rPr>
        <w:t>近似查询</w:t>
      </w:r>
      <w:r>
        <w:t>：在国家知识产权局商标数据库中检索是否存在相同或高度近似的在先商标。</w:t>
      </w:r>
    </w:p>
    <w:p w14:paraId="08A6E480">
      <w:pPr>
        <w:pStyle w:val="11"/>
      </w:pPr>
      <w:r>
        <w:rPr>
          <w:rStyle w:val="18"/>
        </w:rPr>
        <w:t>出具查询报告</w:t>
      </w:r>
      <w:r>
        <w:t>：服务机构提供查询结果及注册可行性建议，降低驳回风险。</w:t>
      </w:r>
    </w:p>
    <w:p w14:paraId="4C08CA2C">
      <w:pPr>
        <w:pStyle w:val="2"/>
        <w:numPr>
          <w:ilvl w:val="0"/>
          <w:numId w:val="1"/>
        </w:numPr>
        <w:topLinePunct w:val="0"/>
        <w:ind w:left="0" w:leftChars="0" w:firstLine="640" w:firstLineChars="0"/>
        <w:rPr>
          <w:b w:val="0"/>
          <w:bdr w:val="none" w:sz="0" w:space="0"/>
        </w:rPr>
      </w:pPr>
      <w:r>
        <w:t>正式提交申请（资料齐全后1个工作日内）</w:t>
      </w:r>
    </w:p>
    <w:p w14:paraId="1E5D2FEA">
      <w:pPr>
        <w:pStyle w:val="11"/>
      </w:pPr>
      <w:r>
        <w:rPr>
          <w:rStyle w:val="18"/>
        </w:rPr>
        <w:t>在线申报</w:t>
      </w:r>
      <w:r>
        <w:t>：通过中国国家知识产权局商标局官网（或马德里体系等国际途径）提交电子申请。</w:t>
      </w:r>
    </w:p>
    <w:p w14:paraId="0F3DB458">
      <w:pPr>
        <w:pStyle w:val="11"/>
      </w:pPr>
      <w:r>
        <w:t>获取受理通知书：通常在提交后1–2周内下发《商标注册申请受理通知书》，表明申请已被官方接收。</w:t>
      </w:r>
    </w:p>
    <w:p w14:paraId="767844E7">
      <w:pPr>
        <w:pStyle w:val="2"/>
        <w:numPr>
          <w:ilvl w:val="0"/>
          <w:numId w:val="1"/>
        </w:numPr>
        <w:topLinePunct w:val="0"/>
        <w:ind w:left="0" w:leftChars="0" w:firstLine="640" w:firstLineChars="0"/>
        <w:rPr>
          <w:b w:val="0"/>
          <w:bdr w:val="none" w:sz="0" w:space="0"/>
        </w:rPr>
      </w:pPr>
      <w:r>
        <w:t>形式审查（约1个月）</w:t>
      </w:r>
    </w:p>
    <w:p w14:paraId="226F1BD7">
      <w:pPr>
        <w:pStyle w:val="11"/>
      </w:pPr>
      <w:r>
        <w:t>商标局对申请文件是否符合格式要求进行审查。</w:t>
      </w:r>
    </w:p>
    <w:p w14:paraId="4E9B8399">
      <w:pPr>
        <w:pStyle w:val="11"/>
      </w:pPr>
      <w:r>
        <w:t>若资料无误，进入下一阶段；若有补正要求，服务机构会协助客户完成。</w:t>
      </w:r>
    </w:p>
    <w:p w14:paraId="57ADAFE6">
      <w:pPr>
        <w:pStyle w:val="2"/>
        <w:numPr>
          <w:ilvl w:val="0"/>
          <w:numId w:val="1"/>
        </w:numPr>
        <w:topLinePunct w:val="0"/>
        <w:ind w:left="0" w:leftChars="0" w:firstLine="640" w:firstLineChars="0"/>
        <w:rPr>
          <w:b w:val="0"/>
          <w:bdr w:val="none" w:sz="0" w:space="0"/>
        </w:rPr>
      </w:pPr>
      <w:r>
        <w:t>实质审查（约6–9个月）</w:t>
      </w:r>
    </w:p>
    <w:p w14:paraId="61C509B8">
      <w:pPr>
        <w:pStyle w:val="11"/>
      </w:pPr>
      <w:r>
        <w:t>审查员对商标的显著性、是否违反禁用条款、是否与在先商标冲突等进行实质判断。</w:t>
      </w:r>
    </w:p>
    <w:p w14:paraId="42ACE066">
      <w:pPr>
        <w:pStyle w:val="11"/>
      </w:pPr>
      <w:r>
        <w:rPr>
          <w:spacing wpsCustomData:val="-6" w:val="-3"/>
        </w:rPr>
        <w:t>如被驳</w:t>
      </w:r>
      <w:r>
        <w:rPr>
          <w:spacing wpsCustomData:val="-6" w:val="-2"/>
        </w:rPr>
        <w:t>回，</w:t>
      </w:r>
      <w:r>
        <w:rPr>
          <w:spacing wpsCustomData:val="-6" w:val="-3"/>
        </w:rPr>
        <w:t>服务机构可协助分析驳回理</w:t>
      </w:r>
      <w:r>
        <w:rPr>
          <w:spacing wpsCustomData:val="-6" w:val="-2"/>
        </w:rPr>
        <w:t>由，</w:t>
      </w:r>
      <w:r>
        <w:rPr>
          <w:spacing wpsCustomData:val="-6" w:val="-3"/>
        </w:rPr>
        <w:t>并建议是否申</w:t>
      </w:r>
      <w:r>
        <w:rPr>
          <w:spacing wpsCustomData:val="-6" w:val="-6"/>
        </w:rPr>
        <w:t>请</w:t>
      </w:r>
      <w:r>
        <w:t>复审。</w:t>
      </w:r>
    </w:p>
    <w:p w14:paraId="4A6C2B18">
      <w:pPr>
        <w:pStyle w:val="2"/>
        <w:numPr>
          <w:ilvl w:val="0"/>
          <w:numId w:val="1"/>
        </w:numPr>
        <w:topLinePunct w:val="0"/>
        <w:ind w:left="0" w:leftChars="0" w:firstLine="640" w:firstLineChars="0"/>
        <w:rPr>
          <w:b w:val="0"/>
          <w:bdr w:val="none" w:sz="0" w:space="0"/>
        </w:rPr>
      </w:pPr>
      <w:r>
        <w:t>初审公告（3个月）</w:t>
      </w:r>
    </w:p>
    <w:p w14:paraId="3C3C83DA">
      <w:pPr>
        <w:pStyle w:val="11"/>
      </w:pPr>
      <w:r>
        <w:t>通过实质审查的商标将在《商标公告》上公示，接受公众异议。</w:t>
      </w:r>
    </w:p>
    <w:p w14:paraId="22EC6314">
      <w:pPr>
        <w:pStyle w:val="11"/>
      </w:pPr>
      <w:r>
        <w:t>若无人异议或异议不成立，将进入核准注册阶段。</w:t>
      </w:r>
    </w:p>
    <w:p w14:paraId="0E592B17">
      <w:pPr>
        <w:pStyle w:val="2"/>
        <w:numPr>
          <w:ilvl w:val="0"/>
          <w:numId w:val="1"/>
        </w:numPr>
        <w:topLinePunct w:val="0"/>
        <w:ind w:left="0" w:leftChars="0" w:firstLine="640" w:firstLineChars="0"/>
        <w:rPr>
          <w:b w:val="0"/>
          <w:bdr w:val="none" w:sz="0" w:space="0"/>
        </w:rPr>
      </w:pPr>
      <w:r>
        <w:t>核准注册与发证（公告期满后1–2个月）</w:t>
      </w:r>
    </w:p>
    <w:p w14:paraId="4E40568D">
      <w:pPr>
        <w:pStyle w:val="11"/>
      </w:pPr>
      <w:r>
        <w:t>商标局核发《商标注册证》（电子版为主，自2022年起不再主动发放纸质证书）。</w:t>
      </w:r>
    </w:p>
    <w:p w14:paraId="47017499">
      <w:pPr>
        <w:pStyle w:val="11"/>
      </w:pPr>
      <w:r>
        <w:t>注册有效期为10年，自核准注册之日起计算。</w:t>
      </w:r>
    </w:p>
    <w:p w14:paraId="1CF96861">
      <w:pPr>
        <w:pStyle w:val="2"/>
        <w:numPr>
          <w:ilvl w:val="0"/>
          <w:numId w:val="1"/>
        </w:numPr>
        <w:topLinePunct w:val="0"/>
        <w:ind w:left="0" w:leftChars="0" w:firstLine="640" w:firstLineChars="0"/>
        <w:rPr>
          <w:b w:val="0"/>
          <w:bdr w:val="none" w:sz="0" w:space="0"/>
        </w:rPr>
      </w:pPr>
      <w:r>
        <w:t>后续服务（部分机构提供）</w:t>
      </w:r>
    </w:p>
    <w:p w14:paraId="76A2A47B">
      <w:pPr>
        <w:pStyle w:val="11"/>
      </w:pPr>
      <w:r>
        <w:t>商标监控：监测是否有他人申请近似商标。</w:t>
      </w:r>
    </w:p>
    <w:p w14:paraId="6E6F962D">
      <w:pPr>
        <w:pStyle w:val="11"/>
      </w:pPr>
      <w:r>
        <w:t>续展提醒：在注册满9年时提醒客户办理续展。</w:t>
      </w:r>
    </w:p>
    <w:p w14:paraId="41E75AB1">
      <w:pPr>
        <w:pStyle w:val="11"/>
      </w:pPr>
      <w:r>
        <w:t>维权支持：如遇侵权，提供法律咨询或维权协助。</w:t>
      </w:r>
    </w:p>
    <w:p w14:paraId="09DD45C7">
      <w:pPr>
        <w:pStyle w:val="11"/>
      </w:pPr>
      <w:r>
        <w:t>温馨提示：</w:t>
      </w:r>
    </w:p>
    <w:p w14:paraId="7DB09DB4">
      <w:pPr>
        <w:pStyle w:val="11"/>
      </w:pPr>
      <w:r>
        <w:t>整个流程正常情况下需 8–12个月 左右。</w:t>
      </w:r>
    </w:p>
    <w:p w14:paraId="7A90D981">
      <w:pPr>
        <w:pStyle w:val="11"/>
      </w:pPr>
      <w:r>
        <w:t>若遇补正、驳回、异议等情况，时间可能延长。</w:t>
      </w:r>
    </w:p>
    <w:p w14:paraId="2D501BD9">
      <w:pPr>
        <w:pStyle w:val="11"/>
      </w:pPr>
      <w:r>
        <w:t>建议选择正规备案的商标代理机构（可在国家知识产权局官网查询备案信息）。</w:t>
      </w:r>
    </w:p>
    <w:p w14:paraId="136339FF">
      <w:pPr>
        <w:pStyle w:val="11"/>
      </w:pPr>
    </w:p>
    <w:p w14:paraId="48E122A1">
      <w:r>
        <w:br w:type="page"/>
      </w:r>
    </w:p>
    <w:p w14:paraId="4112044E">
      <w:pPr>
        <w:pStyle w:val="15"/>
        <w:bidi w:val="0"/>
      </w:pPr>
      <mc:AlternateContent>
        <mc:Choice Requires="wpsCustomData">
          <wpsCustomData:docfieldStart id="1" docfieldname="标题_2" hidden="0" print="1" readonly="0" index="5"/>
        </mc:Choice>
      </mc:AlternateContent>
      <w:r>
        <w:t>域名服务注册流程</w:t>
      </w:r>
      <mc:AlternateContent>
        <mc:Choice Requires="wpsCustomData">
          <wpsCustomData:docfieldEnd id="1"/>
        </mc:Choice>
      </mc:AlternateContent>
    </w:p>
    <w:p w14:paraId="2D36D0B5">
      <w:pPr>
        <w:pStyle w:val="11"/>
        <w:bidi w:val="0"/>
        <w:spacing w:beforeAutospacing="0" w:afterAutospacing="0" w:line="300" w:lineRule="exact"/>
      </w:pPr>
    </w:p>
    <w:p w14:paraId="6893C6FC">
      <w:pPr>
        <w:pStyle w:val="2"/>
        <w:numPr>
          <w:ilvl w:val="0"/>
          <w:numId w:val="2"/>
        </w:numPr>
        <w:topLinePunct w:val="0"/>
        <w:ind w:left="0" w:leftChars="0" w:firstLine="640" w:firstLineChars="0"/>
        <w:rPr>
          <w:b w:val="0"/>
          <w:bdr w:val="none" w:sz="0" w:space="0"/>
        </w:rPr>
      </w:pPr>
      <w:r>
        <w:t>支付成功与订单确认</w:t>
      </w:r>
    </w:p>
    <w:p w14:paraId="061E42EA">
      <w:pPr>
        <w:pStyle w:val="11"/>
      </w:pPr>
      <w:r>
        <w:t>用户完成域名注册费用支付。</w:t>
      </w:r>
    </w:p>
    <w:p w14:paraId="5AAF62CD">
      <w:pPr>
        <w:pStyle w:val="11"/>
      </w:pPr>
      <w:r>
        <w:t>注册商会发送订单确认邮件，包含订单号、注册域名、注册年限、费用明细等信息。</w:t>
      </w:r>
    </w:p>
    <w:p w14:paraId="4E5CE96B">
      <w:pPr>
        <w:pStyle w:val="2"/>
        <w:numPr>
          <w:ilvl w:val="0"/>
          <w:numId w:val="2"/>
        </w:numPr>
        <w:topLinePunct w:val="0"/>
        <w:ind w:left="0" w:leftChars="0" w:firstLine="640" w:firstLineChars="0"/>
        <w:rPr>
          <w:b w:val="0"/>
          <w:bdr w:val="none" w:sz="0" w:space="0"/>
        </w:rPr>
      </w:pPr>
      <w:r>
        <w:t>域名注册与 WHOIS 信息提交</w:t>
      </w:r>
    </w:p>
    <w:p w14:paraId="0361E71B">
      <w:pPr>
        <w:pStyle w:val="11"/>
      </w:pPr>
      <w:r>
        <w:t>注册商向对应的域名注册局（如 Verisign 对应 .com／.net）提交注册请求。</w:t>
      </w:r>
    </w:p>
    <w:p w14:paraId="4D64EE7C">
      <w:pPr>
        <w:pStyle w:val="11"/>
      </w:pPr>
      <w:r>
        <w:t>用户需提供并确认WHOIS 信息（即域名所有者信息），包括：</w:t>
      </w:r>
    </w:p>
    <w:p w14:paraId="02C23F82">
      <w:pPr>
        <w:pStyle w:val="11"/>
      </w:pPr>
      <w:r>
        <w:t>姓名／公司名称</w:t>
      </w:r>
    </w:p>
    <w:p w14:paraId="0D2EF4B6">
      <w:pPr>
        <w:pStyle w:val="11"/>
      </w:pPr>
      <w:r>
        <w:t>邮箱地址（非常重要，用于验证和管理）</w:t>
      </w:r>
    </w:p>
    <w:p w14:paraId="12735E5A">
      <w:pPr>
        <w:pStyle w:val="11"/>
      </w:pPr>
      <w:r>
        <w:t>联系电话</w:t>
      </w:r>
    </w:p>
    <w:p w14:paraId="4C9B1B92">
      <w:pPr>
        <w:pStyle w:val="11"/>
      </w:pPr>
      <w:r>
        <w:t>地址等</w:t>
      </w:r>
    </w:p>
    <w:p w14:paraId="40A21E03">
      <w:pPr>
        <w:pStyle w:val="11"/>
      </w:pPr>
      <w:r>
        <w:t>根据 ICANN 规定，新注册域名需通过邮箱验证（通常在注册后 15 天内完成），否则域名可能被暂停解析。</w:t>
      </w:r>
    </w:p>
    <w:p w14:paraId="5E254AA8">
      <w:pPr>
        <w:pStyle w:val="2"/>
        <w:numPr>
          <w:ilvl w:val="0"/>
          <w:numId w:val="2"/>
        </w:numPr>
        <w:topLinePunct w:val="0"/>
        <w:ind w:left="0" w:leftChars="0" w:firstLine="640" w:firstLineChars="0"/>
        <w:rPr>
          <w:b w:val="0"/>
          <w:bdr w:val="none" w:sz="0" w:space="0"/>
        </w:rPr>
      </w:pPr>
      <w:r>
        <w:t>域名激活与生效</w:t>
      </w:r>
    </w:p>
    <w:p w14:paraId="5EE4073F">
      <w:pPr>
        <w:pStyle w:val="11"/>
      </w:pPr>
      <w:r>
        <w:t>域名通常在几分钟到几小时内全球生效（DNS 全球同步时间不同）。</w:t>
      </w:r>
    </w:p>
    <w:p w14:paraId="1720E720">
      <w:pPr>
        <w:pStyle w:val="11"/>
      </w:pPr>
      <w:r>
        <w:t>用户可在注册商后台查看域名状态及管理面板。</w:t>
      </w:r>
    </w:p>
    <w:p w14:paraId="0E80FB71">
      <w:pPr>
        <w:pStyle w:val="2"/>
        <w:numPr>
          <w:ilvl w:val="0"/>
          <w:numId w:val="2"/>
        </w:numPr>
        <w:topLinePunct w:val="0"/>
        <w:ind w:left="0" w:leftChars="0" w:firstLine="640" w:firstLineChars="0"/>
        <w:rPr>
          <w:b w:val="0"/>
          <w:bdr w:val="none" w:sz="0" w:space="0"/>
        </w:rPr>
      </w:pPr>
      <w:r>
        <w:t>域名解析设置</w:t>
      </w:r>
    </w:p>
    <w:p w14:paraId="59570707">
      <w:pPr>
        <w:pStyle w:val="11"/>
      </w:pPr>
      <w:r>
        <w:t>用户可登录域名控制台，设置 DNS 解析记录（如 A 记录、CNAME、MX 等），将域名指向网站服务器、邮箱服务器等。</w:t>
      </w:r>
    </w:p>
    <w:p w14:paraId="32F1C2C8">
      <w:pPr>
        <w:pStyle w:val="11"/>
      </w:pPr>
      <w:r>
        <w:t>若使用第三方 DNS 服务（如 Cloudflare），需修改域名的 Nameserver（NS 记录）。</w:t>
      </w:r>
    </w:p>
    <w:p w14:paraId="67DC2D17">
      <w:pPr>
        <w:pStyle w:val="2"/>
        <w:numPr>
          <w:ilvl w:val="0"/>
          <w:numId w:val="2"/>
        </w:numPr>
        <w:topLinePunct w:val="0"/>
        <w:ind w:left="0" w:leftChars="0" w:firstLine="640" w:firstLineChars="0"/>
        <w:rPr>
          <w:b w:val="0"/>
          <w:bdr w:val="none" w:sz="0" w:space="0"/>
        </w:rPr>
      </w:pPr>
      <w:r>
        <w:t>后续管理与维护</w:t>
      </w:r>
    </w:p>
    <w:p w14:paraId="0A084CD7">
      <w:pPr>
        <w:pStyle w:val="11"/>
      </w:pPr>
      <w:r>
        <w:t>续费提醒：注册商通常会在到期前 30～60 天发送续费通知。</w:t>
      </w:r>
    </w:p>
    <w:p w14:paraId="42510569">
      <w:pPr>
        <w:pStyle w:val="11"/>
      </w:pPr>
      <w:r>
        <w:t>域名转移／过户：用户可申请将域名转入其他注册商或更改持有人。</w:t>
      </w:r>
    </w:p>
    <w:p w14:paraId="5D971F5B">
      <w:pPr>
        <w:pStyle w:val="11"/>
      </w:pPr>
      <w:r>
        <w:t>温馨提示：</w:t>
      </w:r>
    </w:p>
    <w:p w14:paraId="2F09650B">
      <w:pPr>
        <w:pStyle w:val="11"/>
      </w:pPr>
      <w:r>
        <w:t>务必确保注册邮箱有效且能正常收信（用于验证和找回账户）。</w:t>
      </w:r>
    </w:p>
    <w:p w14:paraId="27CA15C6">
      <w:pPr>
        <w:pStyle w:val="11"/>
      </w:pPr>
      <w:r>
        <w:t>建议开启域名锁定（Domain Lock）防止未经授权的转移。</w:t>
      </w:r>
    </w:p>
    <w:p w14:paraId="2FAFEC39">
      <w:pPr>
        <w:pStyle w:val="11"/>
      </w:pPr>
      <w:r>
        <w:t>定期检查域名到期时间，避免因忘记续费导致域名被释放或高价赎回。</w:t>
      </w:r>
    </w:p>
    <w:p w14:paraId="58B17279">
      <w:pPr>
        <w:pStyle w:val="11"/>
        <w:bidi w:val="0"/>
        <w:ind w:left="0" w:leftChars="0" w:firstLine="0" w:firstLineChars="0"/>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6D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F8AC2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3EF8AC2F">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BCF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7DF93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197DF93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2AD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037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7CD56"/>
    <w:multiLevelType w:val="singleLevel"/>
    <w:tmpl w:val="E1E7CD56"/>
    <w:lvl w:ilvl="0" w:tentative="0">
      <w:start w:val="1"/>
      <w:numFmt w:val="taiwaneseCounting"/>
      <w:suff w:val="nothing"/>
      <w:lvlText w:val="%1、"/>
      <w:lvlJc w:val="left"/>
      <w:pPr>
        <w:ind w:left="0" w:firstLine="640"/>
      </w:pPr>
      <w:rPr>
        <w:rFonts w:hint="eastAsia"/>
      </w:rPr>
    </w:lvl>
  </w:abstractNum>
  <w:abstractNum w:abstractNumId="1">
    <w:nsid w:val="F279A6A5"/>
    <w:multiLevelType w:val="singleLevel"/>
    <w:tmpl w:val="F279A6A5"/>
    <w:lvl w:ilvl="0" w:tentative="0">
      <w:start w:val="1"/>
      <w:numFmt w:val="taiwaneseCounting"/>
      <w:suff w:val="nothing"/>
      <w:lvlText w:val="%1、"/>
      <w:lvlJc w:val="left"/>
      <w:pPr>
        <w:ind w:left="0" w:firstLine="6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4F41"/>
    <w:rsid w:val="2DDC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8"/>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link w:val="3"/>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2025-11-26T06:51:00Z</dcterms:created>
  <dc:creator>陈伟东</dc:creator>
  <cp:lastModifiedBy>陈伟东</cp:lastModifiedBy>
  <dcterms:modified xsi:type="dcterms:W3CDTF">2025-11-26T07:01:05Z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2ABC94771E104AB090101BB70B3ADE0F_11</vt:lpwstr>
  </property>
  <property fmtid="{D5CDD505-2E9C-101B-9397-08002B2CF9AE}" pid="4" name="KSOTemplateDocerSaveRecord">
    <vt:lpwstr>eyJoZGlkIjoiYTA3M2Q4ZTgzNGE4ODcwODgyNjVhMzRmY2MwYmQ1NDMiLCJ1c2VySWQiOiI2MTA5MjM5NTMifQ==</vt:lpwstr>
  </property>
</Properties>
</file>